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681E" w14:textId="77777777" w:rsidR="00AB515D" w:rsidRPr="00D249C8" w:rsidRDefault="00AB515D" w:rsidP="004E1D63">
      <w:pPr>
        <w:rPr>
          <w:rFonts w:ascii="Calibri" w:hAnsi="Calibri" w:cs="Calibri"/>
          <w:b/>
          <w:sz w:val="24"/>
        </w:rPr>
      </w:pPr>
    </w:p>
    <w:p w14:paraId="12D3C6AA" w14:textId="77777777" w:rsidR="003F5615" w:rsidRPr="003F5615" w:rsidRDefault="003F5615" w:rsidP="003F5615">
      <w:pPr>
        <w:jc w:val="center"/>
        <w:rPr>
          <w:rFonts w:ascii="Calibri" w:hAnsi="Calibri" w:cs="Calibri"/>
          <w:b/>
          <w:sz w:val="28"/>
          <w:szCs w:val="28"/>
          <w:lang w:val="cs"/>
        </w:rPr>
      </w:pPr>
      <w:r w:rsidRPr="003F5615">
        <w:rPr>
          <w:rFonts w:ascii="Calibri" w:hAnsi="Calibri" w:cs="Calibri"/>
          <w:b/>
          <w:sz w:val="28"/>
          <w:szCs w:val="28"/>
          <w:lang w:val="cs"/>
        </w:rPr>
        <w:t>Banky budou muset hledat rovnováhu mezi technologickými inovacemi a snižováním rizika</w:t>
      </w:r>
    </w:p>
    <w:p w14:paraId="3700E800" w14:textId="77777777" w:rsidR="003F5615" w:rsidRDefault="003F5615" w:rsidP="00EA4DC0">
      <w:pPr>
        <w:jc w:val="center"/>
        <w:rPr>
          <w:rFonts w:ascii="Calibri" w:hAnsi="Calibri" w:cs="Calibri"/>
          <w:i/>
          <w:sz w:val="22"/>
          <w:szCs w:val="22"/>
        </w:rPr>
      </w:pPr>
    </w:p>
    <w:p w14:paraId="38C48F75" w14:textId="73D1C58F" w:rsidR="003F5615" w:rsidRPr="003F5615" w:rsidRDefault="003F5615" w:rsidP="003F5615">
      <w:pPr>
        <w:numPr>
          <w:ilvl w:val="0"/>
          <w:numId w:val="39"/>
        </w:numPr>
        <w:spacing w:after="160" w:line="259" w:lineRule="auto"/>
        <w:rPr>
          <w:rFonts w:ascii="Calibri" w:hAnsi="Calibri" w:cs="Calibri"/>
          <w:iCs/>
          <w:sz w:val="22"/>
          <w:szCs w:val="22"/>
          <w:lang w:val="cs"/>
        </w:rPr>
      </w:pPr>
      <w:r w:rsidRPr="003F5615">
        <w:rPr>
          <w:rFonts w:ascii="Calibri" w:hAnsi="Calibri" w:cs="Calibri"/>
          <w:iCs/>
          <w:sz w:val="22"/>
          <w:szCs w:val="22"/>
          <w:lang w:val="cs"/>
        </w:rPr>
        <w:t>Technologie a data umožní bankám</w:t>
      </w:r>
      <w:r w:rsidRPr="003F5615" w:rsidDel="0083436A">
        <w:rPr>
          <w:rFonts w:ascii="Calibri" w:hAnsi="Calibri" w:cs="Calibri"/>
          <w:iCs/>
          <w:sz w:val="22"/>
          <w:szCs w:val="22"/>
          <w:lang w:val="cs"/>
        </w:rPr>
        <w:t xml:space="preserve"> </w:t>
      </w:r>
      <w:r w:rsidRPr="003F5615">
        <w:rPr>
          <w:rFonts w:ascii="Calibri" w:hAnsi="Calibri" w:cs="Calibri"/>
          <w:iCs/>
          <w:sz w:val="22"/>
          <w:szCs w:val="22"/>
          <w:lang w:val="cs"/>
        </w:rPr>
        <w:t xml:space="preserve">poskytovat zákazníkům </w:t>
      </w:r>
      <w:r w:rsidR="00CF698A">
        <w:rPr>
          <w:rFonts w:ascii="Calibri" w:hAnsi="Calibri" w:cs="Calibri"/>
          <w:iCs/>
          <w:sz w:val="22"/>
          <w:szCs w:val="22"/>
          <w:lang w:val="cs"/>
        </w:rPr>
        <w:t xml:space="preserve">vysoce </w:t>
      </w:r>
      <w:r w:rsidRPr="003F5615">
        <w:rPr>
          <w:rFonts w:ascii="Calibri" w:hAnsi="Calibri" w:cs="Calibri"/>
          <w:iCs/>
          <w:sz w:val="22"/>
          <w:szCs w:val="22"/>
          <w:lang w:val="cs"/>
        </w:rPr>
        <w:t>personalizované a automatizované služby, zároveň ale znamenají nová rizika a oblasti finanční kriminality, se kterými se banky budou muset vypořádat</w:t>
      </w:r>
    </w:p>
    <w:p w14:paraId="67C04442" w14:textId="77777777" w:rsidR="003F5615" w:rsidRPr="003F5615" w:rsidRDefault="003F5615" w:rsidP="003F5615">
      <w:pPr>
        <w:numPr>
          <w:ilvl w:val="0"/>
          <w:numId w:val="39"/>
        </w:numPr>
        <w:spacing w:after="160" w:line="259" w:lineRule="auto"/>
        <w:rPr>
          <w:rFonts w:ascii="Calibri" w:hAnsi="Calibri" w:cs="Calibri"/>
          <w:iCs/>
          <w:sz w:val="22"/>
          <w:szCs w:val="22"/>
          <w:lang w:val="cs"/>
        </w:rPr>
      </w:pPr>
      <w:r w:rsidRPr="003F5615">
        <w:rPr>
          <w:rFonts w:ascii="Calibri" w:hAnsi="Calibri" w:cs="Calibri"/>
          <w:iCs/>
          <w:sz w:val="22"/>
          <w:szCs w:val="22"/>
          <w:lang w:val="cs"/>
        </w:rPr>
        <w:t>Zákazníci získají mnohem větší kontrolu nad svými osobními údaji prostřednictvím svých digitálních profilů</w:t>
      </w:r>
    </w:p>
    <w:p w14:paraId="56078020" w14:textId="77777777" w:rsidR="003F5615" w:rsidRPr="003F5615" w:rsidRDefault="003F5615" w:rsidP="003F5615">
      <w:pPr>
        <w:numPr>
          <w:ilvl w:val="0"/>
          <w:numId w:val="39"/>
        </w:numPr>
        <w:spacing w:after="160" w:line="259" w:lineRule="auto"/>
        <w:rPr>
          <w:rFonts w:ascii="Calibri" w:hAnsi="Calibri" w:cs="Calibri"/>
          <w:iCs/>
          <w:sz w:val="22"/>
          <w:szCs w:val="22"/>
          <w:lang w:val="cs"/>
        </w:rPr>
      </w:pPr>
      <w:r w:rsidRPr="003F5615">
        <w:rPr>
          <w:rFonts w:ascii="Calibri" w:hAnsi="Calibri" w:cs="Calibri"/>
          <w:iCs/>
          <w:sz w:val="22"/>
          <w:szCs w:val="22"/>
          <w:lang w:val="cs"/>
        </w:rPr>
        <w:t>Banky by mohly v budoucnu zastat roli „důvěryhodných správců“, kteří tyto profily budou uchovávat, rozvíjet a zprostředkovávat přístup ke službám třetích stran jako veřejných institucí nebo maloobchodníků</w:t>
      </w:r>
    </w:p>
    <w:p w14:paraId="25C9ED1F" w14:textId="59DC77CF" w:rsidR="00AB515D" w:rsidRPr="003F5615" w:rsidRDefault="00450C95" w:rsidP="00E04E50">
      <w:pPr>
        <w:spacing w:after="160" w:line="259" w:lineRule="auto"/>
        <w:rPr>
          <w:rFonts w:ascii="Calibri" w:hAnsi="Calibri" w:cs="Calibri"/>
          <w:b/>
          <w:bCs/>
          <w:sz w:val="22"/>
          <w:szCs w:val="22"/>
          <w:lang w:val="cs"/>
        </w:rPr>
      </w:pPr>
      <w:r w:rsidRPr="00D249C8">
        <w:rPr>
          <w:rFonts w:ascii="Calibri" w:hAnsi="Calibri" w:cs="Calibri"/>
          <w:b/>
          <w:bCs/>
          <w:sz w:val="22"/>
          <w:szCs w:val="22"/>
        </w:rPr>
        <w:t xml:space="preserve">Praha, </w:t>
      </w:r>
      <w:r w:rsidR="00F5560C">
        <w:rPr>
          <w:rFonts w:ascii="Calibri" w:hAnsi="Calibri" w:cs="Calibri"/>
          <w:b/>
          <w:bCs/>
          <w:sz w:val="22"/>
          <w:szCs w:val="22"/>
        </w:rPr>
        <w:t>22</w:t>
      </w:r>
      <w:bookmarkStart w:id="0" w:name="_GoBack"/>
      <w:bookmarkEnd w:id="0"/>
      <w:r w:rsidRPr="00D249C8">
        <w:rPr>
          <w:rFonts w:ascii="Calibri" w:hAnsi="Calibri" w:cs="Calibri"/>
          <w:b/>
          <w:bCs/>
          <w:sz w:val="22"/>
          <w:szCs w:val="22"/>
        </w:rPr>
        <w:t>.</w:t>
      </w:r>
      <w:r w:rsidR="00AB515D" w:rsidRPr="00D249C8">
        <w:rPr>
          <w:rFonts w:ascii="Calibri" w:hAnsi="Calibri" w:cs="Calibri"/>
          <w:b/>
          <w:bCs/>
          <w:sz w:val="22"/>
          <w:szCs w:val="22"/>
        </w:rPr>
        <w:t xml:space="preserve"> </w:t>
      </w:r>
      <w:r w:rsidR="00EA4DC0" w:rsidRPr="00D249C8">
        <w:rPr>
          <w:rFonts w:ascii="Calibri" w:hAnsi="Calibri" w:cs="Calibri"/>
          <w:b/>
          <w:bCs/>
          <w:sz w:val="22"/>
          <w:szCs w:val="22"/>
        </w:rPr>
        <w:t>ledna</w:t>
      </w:r>
      <w:r w:rsidR="00AB515D" w:rsidRPr="00D249C8">
        <w:rPr>
          <w:rFonts w:ascii="Calibri" w:hAnsi="Calibri" w:cs="Calibri"/>
          <w:b/>
          <w:bCs/>
          <w:sz w:val="22"/>
          <w:szCs w:val="22"/>
        </w:rPr>
        <w:t xml:space="preserve"> </w:t>
      </w:r>
      <w:r w:rsidRPr="00D249C8">
        <w:rPr>
          <w:rFonts w:ascii="Calibri" w:hAnsi="Calibri" w:cs="Calibri"/>
          <w:b/>
          <w:bCs/>
          <w:sz w:val="22"/>
          <w:szCs w:val="22"/>
        </w:rPr>
        <w:t>2019</w:t>
      </w:r>
      <w:r w:rsidR="00E04E50" w:rsidRPr="00D249C8">
        <w:rPr>
          <w:rFonts w:ascii="Calibri" w:hAnsi="Calibri" w:cs="Calibri"/>
          <w:b/>
          <w:bCs/>
          <w:sz w:val="22"/>
          <w:szCs w:val="22"/>
        </w:rPr>
        <w:t xml:space="preserve"> </w:t>
      </w:r>
      <w:r w:rsidR="009C77C3" w:rsidRPr="00D249C8">
        <w:rPr>
          <w:rFonts w:ascii="Calibri" w:hAnsi="Calibri" w:cs="Calibri"/>
          <w:b/>
          <w:bCs/>
          <w:sz w:val="22"/>
          <w:szCs w:val="22"/>
        </w:rPr>
        <w:t>–</w:t>
      </w:r>
      <w:r w:rsidR="00E04E50" w:rsidRPr="00D249C8">
        <w:rPr>
          <w:rFonts w:ascii="Calibri" w:hAnsi="Calibri" w:cs="Calibri"/>
          <w:b/>
          <w:bCs/>
          <w:sz w:val="22"/>
          <w:szCs w:val="22"/>
        </w:rPr>
        <w:t xml:space="preserve"> </w:t>
      </w:r>
      <w:r w:rsidR="003F5615" w:rsidRPr="003F5615">
        <w:rPr>
          <w:rFonts w:ascii="Calibri" w:hAnsi="Calibri" w:cs="Calibri"/>
          <w:b/>
          <w:bCs/>
          <w:sz w:val="22"/>
          <w:szCs w:val="22"/>
          <w:lang w:val="cs"/>
        </w:rPr>
        <w:t xml:space="preserve">Pokrok v oblasti technologií a dat umožní bankám poskytovat zákazníkům v následující dekádě </w:t>
      </w:r>
      <w:r w:rsidR="00CF698A">
        <w:rPr>
          <w:rFonts w:ascii="Calibri" w:hAnsi="Calibri" w:cs="Calibri"/>
          <w:b/>
          <w:bCs/>
          <w:sz w:val="22"/>
          <w:szCs w:val="22"/>
          <w:lang w:val="cs"/>
        </w:rPr>
        <w:t xml:space="preserve">vysoce </w:t>
      </w:r>
      <w:r w:rsidR="003F5615" w:rsidRPr="003F5615">
        <w:rPr>
          <w:rFonts w:ascii="Calibri" w:hAnsi="Calibri" w:cs="Calibri"/>
          <w:b/>
          <w:bCs/>
          <w:sz w:val="22"/>
          <w:szCs w:val="22"/>
          <w:lang w:val="cs"/>
        </w:rPr>
        <w:t>personalizované a z velké časti automatizované služby, které nahradí tradiční přístup založený na retailových produktech. Jak moc se rozvine tento model „bankovnictví budoucnosti“, ale závisí na schopnosti bank najít tu správnou rovnováhu mezi inovacemi a řízením rizik.</w:t>
      </w:r>
    </w:p>
    <w:p w14:paraId="34C6DB8B" w14:textId="65398681" w:rsidR="00586FA5" w:rsidRPr="003F5615" w:rsidRDefault="003F5615" w:rsidP="00EA4DC0">
      <w:pPr>
        <w:rPr>
          <w:rFonts w:ascii="Calibri" w:hAnsi="Calibri" w:cs="Calibri"/>
          <w:i/>
          <w:sz w:val="22"/>
          <w:szCs w:val="22"/>
          <w:lang w:val="cs"/>
        </w:rPr>
      </w:pPr>
      <w:r w:rsidRPr="003F5615">
        <w:rPr>
          <w:rFonts w:ascii="Calibri" w:hAnsi="Calibri" w:cs="Calibri"/>
          <w:i/>
          <w:sz w:val="22"/>
          <w:szCs w:val="22"/>
          <w:lang w:val="cs"/>
        </w:rPr>
        <w:t>„Češi byli vždy otevření novým technologiím, což můžeme pozorovat například u nakupování na internetu nebo bezkontaktních plateb. A díky prudkému nárůstu investic do digitalizace, inovací a partnerství s fintech startupy se zdejšímu bankovnímu sektoru postupně daří zbavovat se nelichotivé nálepky ‚zkostnatělých dinosaurů‘. V prvním pololetí roku 2019 investovala HSBC celosvětově 2,2 miliardy USD</w:t>
      </w:r>
      <w:r w:rsidRPr="0038475E">
        <w:rPr>
          <w:rFonts w:ascii="Calibri" w:hAnsi="Calibri" w:cs="Calibri"/>
          <w:i/>
          <w:sz w:val="22"/>
          <w:szCs w:val="22"/>
          <w:lang w:val="cs"/>
        </w:rPr>
        <w:t>, meziročně o 17 % více, do krátkodobých a střednědobých iniciativ v oblasti podpory podnikání a zlepšování digitálních dovedností. Využití technologií k naplnění očekávání našich zákazníků a zároveň efektivnějšímu řízení</w:t>
      </w:r>
      <w:r w:rsidRPr="003F5615">
        <w:rPr>
          <w:rFonts w:ascii="Calibri" w:hAnsi="Calibri" w:cs="Calibri"/>
          <w:i/>
          <w:sz w:val="22"/>
          <w:szCs w:val="22"/>
          <w:lang w:val="cs"/>
        </w:rPr>
        <w:t xml:space="preserve"> rizik a celkovému zefektivnění podnikání je klíčem k našemu budoucímu úspěchu,“</w:t>
      </w:r>
      <w:r w:rsidRPr="003F5615">
        <w:rPr>
          <w:rFonts w:ascii="Calibri" w:hAnsi="Calibri" w:cs="Calibri"/>
          <w:sz w:val="22"/>
          <w:szCs w:val="22"/>
          <w:lang w:val="cs"/>
        </w:rPr>
        <w:t xml:space="preserve"> říká Richard Keery, generální ředitel HSBC Česká republika</w:t>
      </w:r>
    </w:p>
    <w:p w14:paraId="1B3AE224" w14:textId="3D022D16" w:rsidR="003F5615" w:rsidRDefault="003F5615" w:rsidP="00EA4DC0">
      <w:pPr>
        <w:rPr>
          <w:rFonts w:ascii="Calibri" w:hAnsi="Calibri" w:cs="Calibri"/>
          <w:sz w:val="22"/>
          <w:szCs w:val="22"/>
          <w:lang w:val="cs"/>
        </w:rPr>
      </w:pPr>
    </w:p>
    <w:p w14:paraId="15F673DD" w14:textId="77777777" w:rsidR="003F5615" w:rsidRDefault="003F5615" w:rsidP="003F5615">
      <w:pPr>
        <w:rPr>
          <w:rFonts w:ascii="Calibri" w:hAnsi="Calibri" w:cs="Calibri"/>
          <w:sz w:val="22"/>
          <w:szCs w:val="22"/>
          <w:lang w:val="cs"/>
        </w:rPr>
      </w:pPr>
      <w:r w:rsidRPr="003F5615">
        <w:rPr>
          <w:rFonts w:ascii="Calibri" w:hAnsi="Calibri" w:cs="Calibri"/>
          <w:sz w:val="22"/>
          <w:szCs w:val="22"/>
          <w:lang w:val="cs"/>
        </w:rPr>
        <w:t xml:space="preserve">Podle nové zprávy HSBC </w:t>
      </w:r>
      <w:r w:rsidRPr="003F5615">
        <w:rPr>
          <w:rFonts w:ascii="Calibri" w:hAnsi="Calibri" w:cs="Calibri"/>
          <w:i/>
          <w:sz w:val="22"/>
          <w:szCs w:val="22"/>
          <w:lang w:val="cs"/>
        </w:rPr>
        <w:t>„</w:t>
      </w:r>
      <w:r w:rsidRPr="003F5615">
        <w:rPr>
          <w:rFonts w:ascii="Calibri" w:hAnsi="Calibri" w:cs="Calibri"/>
          <w:i/>
          <w:sz w:val="22"/>
          <w:szCs w:val="22"/>
          <w:lang w:val="en-GB"/>
        </w:rPr>
        <w:t>Banking of the Future, Finance in the Digital Age</w:t>
      </w:r>
      <w:r w:rsidRPr="003F5615">
        <w:rPr>
          <w:rFonts w:ascii="Calibri" w:hAnsi="Calibri" w:cs="Calibri"/>
          <w:i/>
          <w:sz w:val="22"/>
          <w:szCs w:val="22"/>
          <w:lang w:val="cs"/>
        </w:rPr>
        <w:t>“</w:t>
      </w:r>
      <w:r w:rsidRPr="003F5615">
        <w:rPr>
          <w:rFonts w:ascii="Calibri" w:hAnsi="Calibri" w:cs="Calibri"/>
          <w:sz w:val="22"/>
          <w:szCs w:val="22"/>
          <w:lang w:val="cs"/>
        </w:rPr>
        <w:t>, jejímž autorem je odborník na finanční technologie profesor Markos Zachariadis, získají zákazníci v příštích letech mnohem větší kontrolu nad svými osobními údaji prostřednictvím svých digitálních profilů. Banky se pak zaměří na to, aby se stal</w:t>
      </w:r>
      <w:r w:rsidRPr="003F5615">
        <w:rPr>
          <w:rFonts w:ascii="Calibri" w:hAnsi="Calibri" w:cs="Calibri"/>
          <w:sz w:val="22"/>
          <w:szCs w:val="22"/>
          <w:lang w:val="en-US"/>
        </w:rPr>
        <w:t>y</w:t>
      </w:r>
      <w:r w:rsidRPr="003F5615">
        <w:rPr>
          <w:rFonts w:ascii="Calibri" w:hAnsi="Calibri" w:cs="Calibri"/>
          <w:sz w:val="22"/>
          <w:szCs w:val="22"/>
          <w:lang w:val="cs"/>
        </w:rPr>
        <w:t xml:space="preserve"> tzv. „důvěryhodnými správci“, kteří tyto profily budou uchovávat, rozvíjet a zprostředkovávat přístup ke službám třetích stran jako veřejných institucí nebo maloobchodníků. </w:t>
      </w:r>
    </w:p>
    <w:p w14:paraId="48CBA506" w14:textId="77777777" w:rsidR="003F5615" w:rsidRDefault="003F5615" w:rsidP="003F5615">
      <w:pPr>
        <w:rPr>
          <w:rFonts w:ascii="Calibri" w:hAnsi="Calibri" w:cs="Calibri"/>
          <w:sz w:val="22"/>
          <w:szCs w:val="22"/>
          <w:lang w:val="cs"/>
        </w:rPr>
      </w:pPr>
    </w:p>
    <w:p w14:paraId="329EB240" w14:textId="2AC7A9D9" w:rsidR="003F5615" w:rsidRPr="003F5615" w:rsidRDefault="003F5615" w:rsidP="003F5615">
      <w:pPr>
        <w:rPr>
          <w:rFonts w:ascii="Calibri" w:hAnsi="Calibri" w:cs="Calibri"/>
          <w:sz w:val="22"/>
          <w:szCs w:val="22"/>
          <w:lang w:val="cs"/>
        </w:rPr>
      </w:pPr>
      <w:r w:rsidRPr="003F5615">
        <w:rPr>
          <w:rFonts w:ascii="Calibri" w:hAnsi="Calibri" w:cs="Calibri"/>
          <w:sz w:val="22"/>
          <w:szCs w:val="22"/>
          <w:lang w:val="cs"/>
        </w:rPr>
        <w:t>Osvojení nových postupů v oblastech práce s daty a analytickými technologiemi pomůže bankám získat nové zdroje příjmů a lépe pochopit potřeby zákazníků, kterým pak mohou vyjít více vstříc.</w:t>
      </w:r>
    </w:p>
    <w:p w14:paraId="0D29030A" w14:textId="77777777" w:rsidR="003F5615" w:rsidRPr="003F5615" w:rsidRDefault="003F5615" w:rsidP="003F5615">
      <w:pPr>
        <w:rPr>
          <w:rFonts w:ascii="Calibri" w:hAnsi="Calibri" w:cs="Calibri"/>
          <w:sz w:val="22"/>
          <w:szCs w:val="22"/>
          <w:lang w:val="cs"/>
        </w:rPr>
      </w:pPr>
    </w:p>
    <w:p w14:paraId="79665C8A" w14:textId="77777777" w:rsidR="003F5615" w:rsidRPr="003F5615" w:rsidRDefault="003F5615" w:rsidP="003F5615">
      <w:pPr>
        <w:rPr>
          <w:rFonts w:ascii="Calibri" w:hAnsi="Calibri" w:cs="Calibri"/>
          <w:sz w:val="22"/>
          <w:szCs w:val="22"/>
          <w:lang w:val="cs"/>
        </w:rPr>
      </w:pPr>
      <w:r w:rsidRPr="003F5615">
        <w:rPr>
          <w:rFonts w:ascii="Calibri" w:hAnsi="Calibri" w:cs="Calibri"/>
          <w:sz w:val="22"/>
          <w:szCs w:val="22"/>
          <w:lang w:val="cs"/>
        </w:rPr>
        <w:t>Během následujících deseti let by tak správa financí mohla být pro klienty bank daleko pohodlnější než dnes. Místo toho, aby každou kategorii produktů, jako jsou úspory, půjčky a investice, museli posuzovat zvlášť, dostanou optimalizovanou nabídku na základě dat z jejich profilu. Digitální hlasové služby a rozšířená realita se pravděpodobně stanou standardem v komunikaci se zákazníky, kteří si ale stále budou moci domluvit schůzku s lidským poradcem, když budou chtít řešit nějaký komplexnější problém.</w:t>
      </w:r>
    </w:p>
    <w:p w14:paraId="66F90607" w14:textId="77777777" w:rsidR="003F5615" w:rsidRPr="003F5615" w:rsidRDefault="003F5615" w:rsidP="003F5615">
      <w:pPr>
        <w:rPr>
          <w:rFonts w:ascii="Calibri" w:hAnsi="Calibri" w:cs="Calibri"/>
          <w:sz w:val="22"/>
          <w:szCs w:val="22"/>
          <w:lang w:val="cs"/>
        </w:rPr>
      </w:pPr>
    </w:p>
    <w:p w14:paraId="11AAD05D" w14:textId="77777777" w:rsidR="003F5615" w:rsidRDefault="003F5615" w:rsidP="003F5615">
      <w:pPr>
        <w:rPr>
          <w:rFonts w:ascii="Calibri" w:hAnsi="Calibri" w:cs="Calibri"/>
          <w:sz w:val="22"/>
          <w:szCs w:val="22"/>
          <w:lang w:val="cs"/>
        </w:rPr>
      </w:pPr>
      <w:r w:rsidRPr="003F5615">
        <w:rPr>
          <w:rFonts w:ascii="Calibri" w:hAnsi="Calibri" w:cs="Calibri"/>
          <w:sz w:val="22"/>
          <w:szCs w:val="22"/>
          <w:lang w:val="cs"/>
        </w:rPr>
        <w:lastRenderedPageBreak/>
        <w:t>Nová digitální ekonomika s sebou však přinese i rostoucí rizika v oblasti ochrany osobních údajů nebo kybernetické bezpečnosti. Způsob, jakým se banky s těmito riziky vypořádají, bude určující pro budování důvěry spotřebitelů a rozvoj tohoto systému.</w:t>
      </w:r>
    </w:p>
    <w:p w14:paraId="125006C4" w14:textId="77777777" w:rsidR="003F5615" w:rsidRDefault="003F5615" w:rsidP="003F5615">
      <w:pPr>
        <w:rPr>
          <w:rFonts w:ascii="Calibri" w:hAnsi="Calibri" w:cs="Calibri"/>
          <w:sz w:val="22"/>
          <w:szCs w:val="22"/>
          <w:lang w:val="cs"/>
        </w:rPr>
      </w:pPr>
    </w:p>
    <w:p w14:paraId="7A6929F5" w14:textId="61083116" w:rsidR="003F5615" w:rsidRPr="003F5615" w:rsidRDefault="003F5615" w:rsidP="003F5615">
      <w:pPr>
        <w:rPr>
          <w:rFonts w:ascii="Calibri" w:hAnsi="Calibri" w:cs="Calibri"/>
          <w:sz w:val="22"/>
          <w:szCs w:val="22"/>
          <w:lang w:val="cs"/>
        </w:rPr>
      </w:pPr>
      <w:r w:rsidRPr="003F5615">
        <w:rPr>
          <w:rFonts w:ascii="Calibri" w:hAnsi="Calibri" w:cs="Calibri"/>
          <w:sz w:val="22"/>
          <w:szCs w:val="22"/>
          <w:lang w:val="cs"/>
        </w:rPr>
        <w:t>K tomu bude třeba podniknout další kroky například ve standardizaci práce s umělou inteligencí a způsobu shromažďování dat, jejich prezentace a vysvětlení zákazníkům. Dále také i mnohem lepší mezinárodní koordinace, která umožní plné využití výhod plynoucích z technologického rozvoje a zabrání regulatorní arbitráži.</w:t>
      </w:r>
    </w:p>
    <w:p w14:paraId="2F7BA007" w14:textId="77777777" w:rsidR="003F5615" w:rsidRPr="003F5615" w:rsidRDefault="003F5615" w:rsidP="003F5615">
      <w:pPr>
        <w:rPr>
          <w:rFonts w:ascii="Calibri" w:hAnsi="Calibri" w:cs="Calibri"/>
          <w:sz w:val="22"/>
          <w:szCs w:val="22"/>
          <w:lang w:val="cs"/>
        </w:rPr>
      </w:pPr>
    </w:p>
    <w:p w14:paraId="34B7087B" w14:textId="77777777" w:rsidR="003F5615" w:rsidRPr="003F5615" w:rsidRDefault="003F5615" w:rsidP="003F5615">
      <w:pPr>
        <w:rPr>
          <w:rFonts w:ascii="Calibri" w:hAnsi="Calibri" w:cs="Calibri"/>
          <w:sz w:val="22"/>
          <w:szCs w:val="22"/>
          <w:lang w:val="cs"/>
        </w:rPr>
      </w:pPr>
      <w:r w:rsidRPr="003F5615">
        <w:rPr>
          <w:rFonts w:ascii="Calibri" w:hAnsi="Calibri" w:cs="Calibri"/>
          <w:sz w:val="22"/>
          <w:szCs w:val="22"/>
          <w:lang w:val="cs"/>
        </w:rPr>
        <w:t>„</w:t>
      </w:r>
      <w:r w:rsidRPr="003F5615">
        <w:rPr>
          <w:rFonts w:ascii="Calibri" w:hAnsi="Calibri" w:cs="Calibri"/>
          <w:i/>
          <w:sz w:val="22"/>
          <w:szCs w:val="22"/>
          <w:lang w:val="cs"/>
        </w:rPr>
        <w:t>Digitalizace probíhá ve finančních službách tradičně pomaleji než v ostatních sektorech, na druhou stranu nyní přichází období opravdových změn a pro úspěšné banky se v příštích deseti letech otevře řada zajímavých příležitostí. Využitím technologií pro lepší organizaci a analýzu dat a jejich důvěryhodného postavení pro vybudování užšího vztahu se zákazníkem budou banky schopny posílit svou centrální roli ve finančním sektoru, kde bude růst význam různých platforem,“</w:t>
      </w:r>
      <w:r w:rsidRPr="003F5615">
        <w:rPr>
          <w:rFonts w:ascii="Calibri" w:hAnsi="Calibri" w:cs="Calibri"/>
          <w:sz w:val="22"/>
          <w:szCs w:val="22"/>
          <w:lang w:val="cs"/>
        </w:rPr>
        <w:t xml:space="preserve"> dodává Markos Zachariadis, autor zprávy a profesor finančních technologií a informačních systémů na Alliance Manchester Business School.</w:t>
      </w:r>
    </w:p>
    <w:p w14:paraId="6CCD2BA6" w14:textId="77777777" w:rsidR="003F5615" w:rsidRPr="003F5615" w:rsidRDefault="003F5615" w:rsidP="003F5615">
      <w:pPr>
        <w:rPr>
          <w:rFonts w:ascii="Calibri" w:hAnsi="Calibri" w:cs="Calibri"/>
          <w:sz w:val="22"/>
          <w:szCs w:val="22"/>
          <w:lang w:val="cs"/>
        </w:rPr>
      </w:pPr>
    </w:p>
    <w:p w14:paraId="16107EC3" w14:textId="77777777" w:rsidR="003F5615" w:rsidRPr="003F5615" w:rsidRDefault="003F5615" w:rsidP="003F5615">
      <w:pPr>
        <w:rPr>
          <w:rFonts w:ascii="Calibri" w:hAnsi="Calibri" w:cs="Calibri"/>
          <w:sz w:val="22"/>
          <w:szCs w:val="22"/>
          <w:lang w:val="cs"/>
        </w:rPr>
      </w:pPr>
      <w:r w:rsidRPr="003F5615">
        <w:rPr>
          <w:rFonts w:ascii="Calibri" w:hAnsi="Calibri" w:cs="Calibri"/>
          <w:sz w:val="22"/>
          <w:szCs w:val="22"/>
          <w:lang w:val="cs"/>
        </w:rPr>
        <w:t xml:space="preserve">Zpráva </w:t>
      </w:r>
      <w:r w:rsidRPr="003F5615">
        <w:rPr>
          <w:rFonts w:ascii="Calibri" w:hAnsi="Calibri" w:cs="Calibri"/>
          <w:i/>
          <w:sz w:val="22"/>
          <w:szCs w:val="22"/>
          <w:lang w:val="cs"/>
        </w:rPr>
        <w:t>„</w:t>
      </w:r>
      <w:r w:rsidRPr="003F5615">
        <w:rPr>
          <w:rFonts w:ascii="Calibri" w:hAnsi="Calibri" w:cs="Calibri"/>
          <w:i/>
          <w:sz w:val="22"/>
          <w:szCs w:val="22"/>
          <w:lang w:val="en-GB"/>
        </w:rPr>
        <w:t>Banking of the Future, Finance in the Digital Age</w:t>
      </w:r>
      <w:r w:rsidRPr="003F5615">
        <w:rPr>
          <w:rFonts w:ascii="Calibri" w:hAnsi="Calibri" w:cs="Calibri"/>
          <w:i/>
          <w:sz w:val="22"/>
          <w:szCs w:val="22"/>
          <w:lang w:val="cs"/>
        </w:rPr>
        <w:t>“</w:t>
      </w:r>
      <w:r w:rsidRPr="003F5615">
        <w:rPr>
          <w:rFonts w:ascii="Calibri" w:hAnsi="Calibri" w:cs="Calibri"/>
          <w:sz w:val="22"/>
          <w:szCs w:val="22"/>
          <w:lang w:val="cs"/>
        </w:rPr>
        <w:t xml:space="preserve"> zkoumá tři klíčové oblasti a jejich pravděpodobný vývoj v příštích 10 letech:</w:t>
      </w:r>
    </w:p>
    <w:p w14:paraId="17886CB4" w14:textId="27C0101A" w:rsidR="003F5615" w:rsidRDefault="003F5615" w:rsidP="00EA4DC0">
      <w:pPr>
        <w:rPr>
          <w:rFonts w:ascii="Calibri" w:hAnsi="Calibri" w:cs="Calibri"/>
          <w:sz w:val="22"/>
          <w:szCs w:val="22"/>
        </w:rPr>
      </w:pPr>
    </w:p>
    <w:p w14:paraId="78DCA089" w14:textId="77777777" w:rsidR="003F5615" w:rsidRPr="003F5615" w:rsidRDefault="003F5615" w:rsidP="003F5615">
      <w:pPr>
        <w:rPr>
          <w:rFonts w:ascii="Calibri" w:hAnsi="Calibri" w:cs="Calibri"/>
          <w:sz w:val="22"/>
          <w:szCs w:val="22"/>
          <w:lang w:val="cs"/>
        </w:rPr>
      </w:pPr>
      <w:r w:rsidRPr="003F5615">
        <w:rPr>
          <w:rFonts w:ascii="Calibri" w:hAnsi="Calibri" w:cs="Calibri"/>
          <w:b/>
          <w:sz w:val="22"/>
          <w:szCs w:val="22"/>
          <w:lang w:val="cs"/>
        </w:rPr>
        <w:t>Nové příležitosti díky technologiím a datům</w:t>
      </w:r>
    </w:p>
    <w:p w14:paraId="4307A533" w14:textId="7F73BCEB"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Počet partnerství mezi fintech firmami a bankami pravděpodobně výrazně vzroste</w:t>
      </w:r>
    </w:p>
    <w:p w14:paraId="17597211" w14:textId="22EEC62C"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Pro bankovní a finanční služby 21. století budou charakteristické zejména datové a analytické technologie, jako je umělá inteligence (AI) a strojové učení (ML)</w:t>
      </w:r>
    </w:p>
    <w:p w14:paraId="5D79B62A" w14:textId="7CFB1F75"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 xml:space="preserve">Technologie distribuovaných záznamů (DLT) by mohla hrát větší roli při zprostředkování finančních služeb </w:t>
      </w:r>
    </w:p>
    <w:p w14:paraId="214E47BF" w14:textId="3B930368"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Využití kryptoměn vázaných na určitá aktiva (např. stable coins) a digitální měny centrálních bank (CBDC) se může dále rozšířit</w:t>
      </w:r>
    </w:p>
    <w:p w14:paraId="058555BA" w14:textId="45D9C59D"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Naopak, dařit se nebude nativním kryptoměnám, které nejsou vázány na žádné aktivum a nemají emitenta</w:t>
      </w:r>
    </w:p>
    <w:p w14:paraId="67367FA8" w14:textId="77777777" w:rsidR="003F5615" w:rsidRPr="003F5615" w:rsidRDefault="003F5615" w:rsidP="003F5615">
      <w:pPr>
        <w:rPr>
          <w:rFonts w:ascii="Calibri" w:hAnsi="Calibri" w:cs="Calibri"/>
          <w:sz w:val="22"/>
          <w:szCs w:val="22"/>
          <w:lang w:val="cs"/>
        </w:rPr>
      </w:pPr>
      <w:r w:rsidRPr="003F5615">
        <w:rPr>
          <w:rFonts w:ascii="Calibri" w:hAnsi="Calibri" w:cs="Calibri"/>
          <w:b/>
          <w:sz w:val="22"/>
          <w:szCs w:val="22"/>
          <w:lang w:val="cs"/>
        </w:rPr>
        <w:t>Výhody řízení rizik</w:t>
      </w:r>
    </w:p>
    <w:p w14:paraId="30CC4DFD" w14:textId="6B32D9A1"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V digitální ekonomice budou správa dat a soukromí nejdůležitějšími složkami budování zákaznické důvěry</w:t>
      </w:r>
    </w:p>
    <w:p w14:paraId="28D8A35A" w14:textId="11E7CC96"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bCs/>
          <w:lang w:val="cs"/>
        </w:rPr>
        <w:t>B</w:t>
      </w:r>
      <w:r w:rsidRPr="003F5615">
        <w:rPr>
          <w:rFonts w:ascii="Calibri" w:hAnsi="Calibri" w:cs="Calibri"/>
          <w:lang w:val="cs"/>
        </w:rPr>
        <w:t xml:space="preserve">ude třeba podniknout další kroky ve standardizaci práce s umělou inteligencí a způsobu shromažďování dat, jejich prezentace a vysvětlení zákazníkům. </w:t>
      </w:r>
    </w:p>
    <w:p w14:paraId="19FF6F44" w14:textId="73ABDA3F"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Investice do regtechu (řízení regulatorních procesů ve finančním sektoru pomocí technologií) budou i nadále růst, což zapříčiní standardizaci některých oblastí compliance</w:t>
      </w:r>
    </w:p>
    <w:p w14:paraId="775C46B0" w14:textId="47324A1D"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Kybernetická bezpečnost bude stále větší prioritou představenstev bank, které do ní budou více investovat</w:t>
      </w:r>
    </w:p>
    <w:p w14:paraId="2A10B69D" w14:textId="11008D73"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Rostoucí regulace se rozšíří i na „netradiční“ subjekty na finančním trhu</w:t>
      </w:r>
    </w:p>
    <w:p w14:paraId="03B7F959" w14:textId="4D00D529"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Není pravděpodobné, že by se všechny země shodly na stejných podmínkách v oblasti regulace, takže bude vždy potřeba lokálního i globálního pohledu</w:t>
      </w:r>
    </w:p>
    <w:p w14:paraId="43E56C86" w14:textId="77777777" w:rsidR="003F5615" w:rsidRPr="003F5615" w:rsidRDefault="003F5615" w:rsidP="003F5615">
      <w:pPr>
        <w:rPr>
          <w:rFonts w:ascii="Calibri" w:hAnsi="Calibri" w:cs="Calibri"/>
          <w:sz w:val="22"/>
          <w:szCs w:val="22"/>
          <w:lang w:val="cs"/>
        </w:rPr>
      </w:pPr>
      <w:r w:rsidRPr="003F5615">
        <w:rPr>
          <w:rFonts w:ascii="Calibri" w:hAnsi="Calibri" w:cs="Calibri"/>
          <w:b/>
          <w:sz w:val="22"/>
          <w:szCs w:val="22"/>
          <w:lang w:val="cs"/>
        </w:rPr>
        <w:t>Revoluce v chování spotřebitelů</w:t>
      </w:r>
    </w:p>
    <w:p w14:paraId="53813C6D" w14:textId="6AD2DFC9"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V příštích 10 letech nezmizí ani hotovost, ani platební karty – zákazníci budou muset novější digitální platby nejprve vyzkoušet, zvyknout si na ně a získat k nim důvěru</w:t>
      </w:r>
    </w:p>
    <w:p w14:paraId="1FF80315" w14:textId="58274C73"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Banky už nebudou vázány jen spořicími, úvěrovými a investičními produkty – služby se více přizpůsobí dynamickým potřebám zákazníků</w:t>
      </w:r>
    </w:p>
    <w:p w14:paraId="089AFC2C" w14:textId="164A04DA"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lastRenderedPageBreak/>
        <w:t xml:space="preserve">Spotřebitelé převezmou daleko větší zodpovědnost za své osobní údaje, což povede k vytvoření digitálních profilů </w:t>
      </w:r>
    </w:p>
    <w:p w14:paraId="3CC8D8A9" w14:textId="3D1A873C"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Banky budou mít možnost stát se „důvěryhodnými správci“, kteří tyto profily budou uchovávat, rozvíjet a zprostředkovávat přístup ke službám třetích stran</w:t>
      </w:r>
    </w:p>
    <w:p w14:paraId="4A0874C6" w14:textId="51E49DF3" w:rsidR="003F5615" w:rsidRPr="003F5615" w:rsidRDefault="003F5615" w:rsidP="003F5615">
      <w:pPr>
        <w:pStyle w:val="ListParagraph"/>
        <w:numPr>
          <w:ilvl w:val="0"/>
          <w:numId w:val="41"/>
        </w:numPr>
        <w:rPr>
          <w:rFonts w:ascii="Calibri" w:hAnsi="Calibri" w:cs="Calibri"/>
          <w:lang w:val="cs"/>
        </w:rPr>
      </w:pPr>
      <w:r w:rsidRPr="003F5615">
        <w:rPr>
          <w:rFonts w:ascii="Calibri" w:hAnsi="Calibri" w:cs="Calibri"/>
          <w:lang w:val="cs"/>
        </w:rPr>
        <w:t>Digitální hlasové služby a rozšířená realita aplikovaná na reálné životní situace se mohou stát výchozím kanálem pro komunikaci se zákazníky při současném zachování možnosti domluvit si schůzku s lidským poradcem v případě potřeby komplexnějšího řešení problému.</w:t>
      </w:r>
    </w:p>
    <w:p w14:paraId="433AD555" w14:textId="77777777" w:rsidR="007223BD" w:rsidRPr="00D249C8" w:rsidRDefault="007223BD" w:rsidP="007223BD">
      <w:pPr>
        <w:rPr>
          <w:rStyle w:val="StyleArial9pt"/>
          <w:rFonts w:ascii="Calibri" w:hAnsi="Calibri" w:cs="Calibri"/>
          <w:sz w:val="20"/>
        </w:rPr>
      </w:pPr>
      <w:r w:rsidRPr="00D249C8">
        <w:rPr>
          <w:rStyle w:val="StyleArial9pt"/>
          <w:rFonts w:ascii="Calibri" w:hAnsi="Calibri" w:cs="Calibri"/>
          <w:sz w:val="20"/>
        </w:rPr>
        <w:t>______________________________________________________________________________</w:t>
      </w:r>
    </w:p>
    <w:p w14:paraId="4316E6EF" w14:textId="77777777" w:rsidR="007223BD" w:rsidRPr="00D249C8" w:rsidRDefault="007223BD" w:rsidP="007223BD">
      <w:pPr>
        <w:rPr>
          <w:rFonts w:ascii="Calibri" w:hAnsi="Calibri" w:cs="Calibri"/>
        </w:rPr>
      </w:pPr>
    </w:p>
    <w:p w14:paraId="60A63C7C" w14:textId="77777777" w:rsidR="007223BD" w:rsidRPr="00D249C8" w:rsidRDefault="007223BD" w:rsidP="007223BD">
      <w:pPr>
        <w:pStyle w:val="Headingbold10pt"/>
        <w:rPr>
          <w:rFonts w:ascii="Calibri" w:hAnsi="Calibri" w:cs="Calibri"/>
          <w:szCs w:val="20"/>
          <w:lang w:val="cs-CZ"/>
        </w:rPr>
      </w:pPr>
      <w:r w:rsidRPr="00D249C8">
        <w:rPr>
          <w:rFonts w:ascii="Calibri" w:hAnsi="Calibri" w:cs="Calibri"/>
          <w:szCs w:val="20"/>
          <w:lang w:val="cs-CZ"/>
        </w:rPr>
        <w:t>Kontakt pro média:</w:t>
      </w:r>
    </w:p>
    <w:p w14:paraId="646B3CD5" w14:textId="77777777" w:rsidR="007223BD" w:rsidRPr="00D249C8" w:rsidRDefault="007223BD" w:rsidP="007223BD">
      <w:pPr>
        <w:pStyle w:val="Bodytext9pt"/>
        <w:tabs>
          <w:tab w:val="left" w:pos="2700"/>
          <w:tab w:val="left" w:pos="5400"/>
        </w:tabs>
        <w:rPr>
          <w:rFonts w:ascii="Calibri" w:hAnsi="Calibri" w:cs="Calibri"/>
          <w:sz w:val="20"/>
          <w:szCs w:val="20"/>
          <w:lang w:val="cs-CZ"/>
        </w:rPr>
      </w:pPr>
      <w:r w:rsidRPr="00D249C8">
        <w:rPr>
          <w:rFonts w:ascii="Calibri" w:hAnsi="Calibri" w:cs="Calibri"/>
          <w:sz w:val="20"/>
          <w:szCs w:val="20"/>
          <w:lang w:val="cs-CZ"/>
        </w:rPr>
        <w:tab/>
      </w:r>
      <w:r w:rsidRPr="00D249C8">
        <w:rPr>
          <w:rFonts w:ascii="Calibri" w:hAnsi="Calibri" w:cs="Calibri"/>
          <w:sz w:val="20"/>
          <w:szCs w:val="20"/>
          <w:lang w:val="cs-CZ"/>
        </w:rPr>
        <w:tab/>
      </w:r>
    </w:p>
    <w:p w14:paraId="0109A4C7" w14:textId="77777777" w:rsidR="007223BD" w:rsidRPr="00D249C8" w:rsidRDefault="007223BD" w:rsidP="007223BD">
      <w:pPr>
        <w:pStyle w:val="Bodytext9pt"/>
        <w:tabs>
          <w:tab w:val="left" w:pos="2700"/>
          <w:tab w:val="left" w:pos="5400"/>
        </w:tabs>
        <w:rPr>
          <w:rFonts w:ascii="Calibri" w:hAnsi="Calibri" w:cs="Calibri"/>
          <w:sz w:val="20"/>
          <w:szCs w:val="20"/>
          <w:lang w:val="cs-CZ"/>
        </w:rPr>
      </w:pPr>
      <w:r w:rsidRPr="00D249C8">
        <w:rPr>
          <w:rFonts w:ascii="Calibri" w:hAnsi="Calibri" w:cs="Calibri"/>
          <w:sz w:val="20"/>
          <w:szCs w:val="20"/>
          <w:lang w:val="cs-CZ"/>
        </w:rPr>
        <w:t>Dominik Ježek</w:t>
      </w:r>
      <w:r w:rsidRPr="00D249C8">
        <w:rPr>
          <w:rFonts w:ascii="Calibri" w:hAnsi="Calibri" w:cs="Calibri"/>
          <w:sz w:val="20"/>
          <w:szCs w:val="20"/>
          <w:lang w:val="cs-CZ"/>
        </w:rPr>
        <w:tab/>
        <w:t>+420-724-652-308</w:t>
      </w:r>
      <w:r w:rsidRPr="00D249C8">
        <w:rPr>
          <w:rFonts w:ascii="Calibri" w:hAnsi="Calibri" w:cs="Calibri"/>
          <w:sz w:val="20"/>
          <w:szCs w:val="20"/>
          <w:lang w:val="cs-CZ"/>
        </w:rPr>
        <w:tab/>
        <w:t>dominik.jezek@havaspr.com</w:t>
      </w:r>
    </w:p>
    <w:p w14:paraId="6A032142" w14:textId="77777777" w:rsidR="007223BD" w:rsidRPr="00D249C8" w:rsidRDefault="007223BD" w:rsidP="007223BD">
      <w:pPr>
        <w:pStyle w:val="Bodytext9pt"/>
        <w:tabs>
          <w:tab w:val="left" w:pos="2700"/>
          <w:tab w:val="left" w:pos="5400"/>
        </w:tabs>
        <w:rPr>
          <w:rFonts w:ascii="Calibri" w:hAnsi="Calibri" w:cs="Calibri"/>
          <w:sz w:val="20"/>
          <w:szCs w:val="20"/>
          <w:lang w:val="cs-CZ"/>
        </w:rPr>
      </w:pPr>
      <w:r w:rsidRPr="00D249C8">
        <w:rPr>
          <w:rFonts w:ascii="Calibri" w:hAnsi="Calibri" w:cs="Calibri"/>
          <w:sz w:val="20"/>
          <w:szCs w:val="20"/>
          <w:lang w:val="cs-CZ"/>
        </w:rPr>
        <w:t>Adéla Haraštová</w:t>
      </w:r>
      <w:r w:rsidRPr="00D249C8">
        <w:rPr>
          <w:rFonts w:ascii="Calibri" w:hAnsi="Calibri" w:cs="Calibri"/>
          <w:sz w:val="20"/>
          <w:szCs w:val="20"/>
          <w:lang w:val="cs-CZ"/>
        </w:rPr>
        <w:tab/>
        <w:t>+420-225-024-512</w:t>
      </w:r>
      <w:r w:rsidRPr="00D249C8">
        <w:rPr>
          <w:rFonts w:ascii="Calibri" w:hAnsi="Calibri" w:cs="Calibri"/>
          <w:sz w:val="20"/>
          <w:szCs w:val="20"/>
          <w:lang w:val="cs-CZ"/>
        </w:rPr>
        <w:tab/>
        <w:t>adela.harastova@hsbc.com</w:t>
      </w:r>
    </w:p>
    <w:p w14:paraId="151FDF4F" w14:textId="77777777" w:rsidR="007223BD" w:rsidRPr="00D249C8" w:rsidRDefault="007223BD" w:rsidP="00AB515D">
      <w:pPr>
        <w:rPr>
          <w:rFonts w:ascii="Calibri" w:hAnsi="Calibri" w:cs="Calibri"/>
          <w:b/>
          <w:sz w:val="18"/>
          <w:szCs w:val="18"/>
        </w:rPr>
      </w:pPr>
    </w:p>
    <w:p w14:paraId="043DA0A7" w14:textId="7AFAA82B" w:rsidR="003F5615" w:rsidRDefault="003F5615" w:rsidP="003F5615">
      <w:pPr>
        <w:jc w:val="both"/>
        <w:rPr>
          <w:rFonts w:ascii="Arial" w:hAnsi="Arial" w:cs="Arial"/>
          <w:color w:val="000000"/>
          <w:sz w:val="18"/>
          <w:szCs w:val="18"/>
          <w:lang w:val="cs"/>
        </w:rPr>
      </w:pPr>
      <w:r w:rsidRPr="003F5615">
        <w:rPr>
          <w:rFonts w:ascii="Arial" w:hAnsi="Arial" w:cs="Arial"/>
          <w:color w:val="000000"/>
          <w:sz w:val="18"/>
          <w:szCs w:val="18"/>
          <w:lang w:val="cs"/>
        </w:rPr>
        <w:t xml:space="preserve">Plné znění zprávy si můžete stáhnout </w:t>
      </w:r>
      <w:hyperlink r:id="rId8">
        <w:r w:rsidRPr="003F5615">
          <w:rPr>
            <w:rStyle w:val="Hyperlink"/>
            <w:rFonts w:ascii="Arial" w:hAnsi="Arial" w:cs="Arial"/>
            <w:sz w:val="18"/>
            <w:szCs w:val="18"/>
            <w:lang w:val="cs"/>
          </w:rPr>
          <w:t>zde</w:t>
        </w:r>
      </w:hyperlink>
      <w:r w:rsidRPr="003F5615">
        <w:rPr>
          <w:rFonts w:ascii="Arial" w:hAnsi="Arial" w:cs="Arial"/>
          <w:color w:val="000000"/>
          <w:sz w:val="18"/>
          <w:szCs w:val="18"/>
          <w:lang w:val="cs"/>
        </w:rPr>
        <w:t>.</w:t>
      </w:r>
    </w:p>
    <w:p w14:paraId="7D127626" w14:textId="484B8BD0" w:rsidR="003F5615" w:rsidRDefault="003F5615" w:rsidP="003F5615">
      <w:pPr>
        <w:jc w:val="both"/>
        <w:rPr>
          <w:rFonts w:ascii="Arial" w:hAnsi="Arial" w:cs="Arial"/>
          <w:color w:val="000000"/>
          <w:sz w:val="18"/>
          <w:szCs w:val="18"/>
          <w:lang w:val="cs"/>
        </w:rPr>
      </w:pPr>
    </w:p>
    <w:p w14:paraId="3E93CE70" w14:textId="77777777" w:rsidR="003F5615" w:rsidRPr="003F5615" w:rsidRDefault="003F5615" w:rsidP="003F5615">
      <w:pPr>
        <w:jc w:val="both"/>
        <w:rPr>
          <w:rFonts w:ascii="Arial" w:hAnsi="Arial" w:cs="Arial"/>
          <w:b/>
          <w:bCs/>
          <w:color w:val="000000"/>
          <w:sz w:val="18"/>
          <w:szCs w:val="18"/>
          <w:lang w:val="cs"/>
        </w:rPr>
      </w:pPr>
      <w:r w:rsidRPr="003F5615">
        <w:rPr>
          <w:rFonts w:ascii="Arial" w:hAnsi="Arial" w:cs="Arial"/>
          <w:b/>
          <w:bCs/>
          <w:color w:val="000000"/>
          <w:sz w:val="18"/>
          <w:szCs w:val="18"/>
          <w:lang w:val="cs"/>
        </w:rPr>
        <w:t>HSBC Holdings plc</w:t>
      </w:r>
    </w:p>
    <w:p w14:paraId="47637A2D" w14:textId="77777777" w:rsidR="003F5615" w:rsidRPr="003F5615" w:rsidRDefault="003F5615" w:rsidP="003F5615">
      <w:pPr>
        <w:jc w:val="both"/>
        <w:rPr>
          <w:rFonts w:ascii="Arial" w:hAnsi="Arial" w:cs="Arial"/>
          <w:color w:val="000000"/>
          <w:sz w:val="18"/>
          <w:szCs w:val="18"/>
          <w:lang w:val="cs"/>
        </w:rPr>
      </w:pPr>
      <w:r w:rsidRPr="003F5615">
        <w:rPr>
          <w:rFonts w:ascii="Arial" w:hAnsi="Arial" w:cs="Arial"/>
          <w:color w:val="000000"/>
          <w:sz w:val="18"/>
          <w:szCs w:val="18"/>
          <w:lang w:val="cs"/>
        </w:rPr>
        <w:t>HSBC Holdings plc, mateřská společnost skupiny HSBC, má sídlo v Londýně. HSBC poskytuje své služby zákazníkům po celém světě s pobočkami v 65 zemích a teritoriích v geografických regionech Evropa, Asie, Severní Amerika, Latinská Amerika, Střední východ a severní Afrika. S aktivy ve výši 2 728 miliard USD k 30. září 2019 je HSBC jednou z největších světových organizací v oblasti bankovnictví a finančních služeb.</w:t>
      </w:r>
    </w:p>
    <w:p w14:paraId="4E52E1DE" w14:textId="77777777" w:rsidR="003F5615" w:rsidRPr="003F5615" w:rsidRDefault="003F5615" w:rsidP="003F5615">
      <w:pPr>
        <w:jc w:val="both"/>
        <w:rPr>
          <w:rFonts w:ascii="Arial" w:hAnsi="Arial" w:cs="Arial"/>
          <w:color w:val="000000"/>
          <w:sz w:val="18"/>
          <w:szCs w:val="18"/>
          <w:lang w:val="cs"/>
        </w:rPr>
      </w:pPr>
    </w:p>
    <w:p w14:paraId="5CAFF377" w14:textId="77777777" w:rsidR="003F5615" w:rsidRPr="003F5615" w:rsidRDefault="003F5615" w:rsidP="003F5615">
      <w:pPr>
        <w:jc w:val="both"/>
        <w:rPr>
          <w:rFonts w:ascii="Arial" w:hAnsi="Arial" w:cs="Arial"/>
          <w:b/>
          <w:color w:val="000000"/>
          <w:sz w:val="18"/>
          <w:szCs w:val="18"/>
          <w:lang w:val="cs"/>
        </w:rPr>
      </w:pPr>
      <w:r w:rsidRPr="003F5615">
        <w:rPr>
          <w:rFonts w:ascii="Arial" w:hAnsi="Arial" w:cs="Arial"/>
          <w:b/>
          <w:color w:val="000000"/>
          <w:sz w:val="18"/>
          <w:szCs w:val="18"/>
          <w:lang w:val="cs"/>
        </w:rPr>
        <w:t>Profesor Markos Zachariadis – autor zprávy</w:t>
      </w:r>
    </w:p>
    <w:p w14:paraId="651BF2B2" w14:textId="77777777" w:rsidR="003F5615" w:rsidRPr="003F5615" w:rsidRDefault="003F5615" w:rsidP="003F5615">
      <w:pPr>
        <w:jc w:val="both"/>
        <w:rPr>
          <w:rFonts w:ascii="Arial" w:hAnsi="Arial" w:cs="Arial"/>
          <w:color w:val="000000"/>
          <w:sz w:val="18"/>
          <w:szCs w:val="18"/>
        </w:rPr>
      </w:pPr>
      <w:r w:rsidRPr="003F5615">
        <w:rPr>
          <w:rFonts w:ascii="Arial" w:hAnsi="Arial" w:cs="Arial"/>
          <w:color w:val="000000"/>
          <w:sz w:val="18"/>
          <w:szCs w:val="18"/>
          <w:lang w:val="cs"/>
        </w:rPr>
        <w:t xml:space="preserve">- profesor a předseda finančních technologií a informačních systémů na Alliance Manchester Business School na </w:t>
      </w:r>
      <w:r w:rsidRPr="003F5615">
        <w:rPr>
          <w:rFonts w:ascii="Arial" w:hAnsi="Arial" w:cs="Arial"/>
          <w:color w:val="000000"/>
          <w:sz w:val="18"/>
          <w:szCs w:val="18"/>
        </w:rPr>
        <w:t>Manchesterské univerzitě</w:t>
      </w:r>
    </w:p>
    <w:p w14:paraId="7C3A8807" w14:textId="77777777" w:rsidR="003F5615" w:rsidRPr="003F5615" w:rsidRDefault="003F5615" w:rsidP="003F5615">
      <w:pPr>
        <w:jc w:val="both"/>
        <w:rPr>
          <w:rFonts w:ascii="Arial" w:hAnsi="Arial" w:cs="Arial"/>
          <w:color w:val="000000"/>
          <w:sz w:val="18"/>
          <w:szCs w:val="18"/>
        </w:rPr>
      </w:pPr>
      <w:r w:rsidRPr="003F5615">
        <w:rPr>
          <w:rFonts w:ascii="Arial" w:hAnsi="Arial" w:cs="Arial"/>
          <w:color w:val="000000"/>
          <w:sz w:val="18"/>
          <w:szCs w:val="18"/>
          <w:lang w:val="cs"/>
        </w:rPr>
        <w:t xml:space="preserve">- FinTech Research Fellow na Cambridge Digital Innovation na </w:t>
      </w:r>
      <w:r w:rsidRPr="003F5615">
        <w:rPr>
          <w:rFonts w:ascii="Arial" w:hAnsi="Arial" w:cs="Arial"/>
          <w:color w:val="000000"/>
          <w:sz w:val="18"/>
          <w:szCs w:val="18"/>
        </w:rPr>
        <w:t>Cambridgeské univerzitě</w:t>
      </w:r>
    </w:p>
    <w:p w14:paraId="1944C4F1" w14:textId="44D5D3EA" w:rsidR="00727B68" w:rsidRPr="003F5615" w:rsidRDefault="003F5615" w:rsidP="003F5615">
      <w:pPr>
        <w:jc w:val="both"/>
        <w:rPr>
          <w:rFonts w:ascii="Arial" w:hAnsi="Arial" w:cs="Arial"/>
          <w:color w:val="000000"/>
          <w:sz w:val="18"/>
          <w:szCs w:val="18"/>
          <w:lang w:val="cs"/>
        </w:rPr>
      </w:pPr>
      <w:r w:rsidRPr="003F5615">
        <w:rPr>
          <w:rFonts w:ascii="Arial" w:hAnsi="Arial" w:cs="Arial"/>
          <w:color w:val="000000"/>
          <w:sz w:val="18"/>
          <w:szCs w:val="18"/>
          <w:lang w:val="cs"/>
        </w:rPr>
        <w:t>- člen Global Future Council on Financial &amp; Monetary Systems při Světovém ekonomickém fóru</w:t>
      </w:r>
    </w:p>
    <w:sectPr w:rsidR="00727B68" w:rsidRPr="003F5615" w:rsidSect="00466421">
      <w:headerReference w:type="even" r:id="rId9"/>
      <w:footerReference w:type="default" r:id="rId10"/>
      <w:headerReference w:type="first" r:id="rId11"/>
      <w:footerReference w:type="first" r:id="rId12"/>
      <w:pgSz w:w="11906" w:h="16838" w:code="9"/>
      <w:pgMar w:top="1080" w:right="2096" w:bottom="1936" w:left="1530" w:header="720" w:footer="1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616E9" w14:textId="77777777" w:rsidR="00093E57" w:rsidRDefault="00093E57">
      <w:r>
        <w:separator/>
      </w:r>
    </w:p>
  </w:endnote>
  <w:endnote w:type="continuationSeparator" w:id="0">
    <w:p w14:paraId="4CA7C4AC" w14:textId="77777777" w:rsidR="00093E57" w:rsidRDefault="0009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LT Std 45 Light">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Next for HSBC Light">
    <w:altName w:val="Cambria"/>
    <w:panose1 w:val="020B0604020202020204"/>
    <w:charset w:val="00"/>
    <w:family w:val="swiss"/>
    <w:notTrueType/>
    <w:pitch w:val="variable"/>
    <w:sig w:usb0="A00002AF" w:usb1="00000001" w:usb2="00000000" w:usb3="00000000" w:csb0="0000019F" w:csb1="00000000"/>
  </w:font>
  <w:font w:name="Univers Next for HSBC Regular">
    <w:altName w:val="Calibri"/>
    <w:panose1 w:val="020B0604020202020204"/>
    <w:charset w:val="00"/>
    <w:family w:val="swiss"/>
    <w:notTrueType/>
    <w:pitch w:val="variable"/>
    <w:sig w:usb0="A00002AF"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D34A6" w14:textId="77777777" w:rsidR="00045A78" w:rsidRDefault="00045A78">
    <w:pPr>
      <w:pStyle w:val="Footer"/>
      <w:rPr>
        <w:i/>
        <w:sz w:val="16"/>
      </w:rPr>
    </w:pPr>
    <w:r>
      <w:rPr>
        <w:sz w:val="16"/>
      </w:rPr>
      <w:tab/>
    </w:r>
    <w:r>
      <w:rPr>
        <w:sz w:val="16"/>
      </w:rPr>
      <w:tab/>
    </w:r>
  </w:p>
  <w:p w14:paraId="5169C87A" w14:textId="77777777" w:rsidR="00045A78" w:rsidRDefault="00045A78">
    <w:pPr>
      <w:pStyle w:val="Footer"/>
      <w:rPr>
        <w:b/>
        <w:sz w:val="24"/>
      </w:rPr>
    </w:pPr>
    <w:r>
      <w:rPr>
        <w:b/>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3365" w14:textId="77777777" w:rsidR="00045A78" w:rsidRDefault="00B90CB3" w:rsidP="00466421">
    <w:pPr>
      <w:pStyle w:val="Footer"/>
      <w:tabs>
        <w:tab w:val="clear" w:pos="4153"/>
        <w:tab w:val="clear" w:pos="8306"/>
        <w:tab w:val="left" w:pos="3312"/>
      </w:tabs>
    </w:pPr>
    <w:r>
      <w:rPr>
        <w:noProof/>
        <w:lang w:val="en-US"/>
      </w:rPr>
      <mc:AlternateContent>
        <mc:Choice Requires="wps">
          <w:drawing>
            <wp:anchor distT="0" distB="0" distL="114300" distR="114300" simplePos="0" relativeHeight="251657728" behindDoc="0" locked="0" layoutInCell="1" allowOverlap="1" wp14:anchorId="20900427" wp14:editId="4FFC0543">
              <wp:simplePos x="0" y="0"/>
              <wp:positionH relativeFrom="column">
                <wp:posOffset>2737485</wp:posOffset>
              </wp:positionH>
              <wp:positionV relativeFrom="paragraph">
                <wp:posOffset>-146050</wp:posOffset>
              </wp:positionV>
              <wp:extent cx="2976245" cy="1239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6245"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469C" w14:textId="77777777" w:rsidR="00466421" w:rsidRDefault="006556D4" w:rsidP="006556D4">
                          <w:pPr>
                            <w:rPr>
                              <w:sz w:val="14"/>
                              <w:szCs w:val="14"/>
                            </w:rPr>
                          </w:pPr>
                          <w:r w:rsidRPr="00D836CD">
                            <w:rPr>
                              <w:b/>
                              <w:sz w:val="14"/>
                              <w:szCs w:val="14"/>
                            </w:rPr>
                            <w:t xml:space="preserve">HSBC FRANCE </w:t>
                          </w:r>
                          <w:r w:rsidRPr="00D836CD">
                            <w:rPr>
                              <w:sz w:val="14"/>
                              <w:szCs w:val="14"/>
                            </w:rPr>
                            <w:t>jednající prostřednictvím</w:t>
                          </w:r>
                          <w:r w:rsidRPr="00D836CD">
                            <w:rPr>
                              <w:b/>
                              <w:sz w:val="14"/>
                              <w:szCs w:val="14"/>
                            </w:rPr>
                            <w:t xml:space="preserve"> HSBC </w:t>
                          </w:r>
                          <w:r w:rsidR="00466421" w:rsidRPr="00D836CD">
                            <w:rPr>
                              <w:b/>
                              <w:sz w:val="14"/>
                              <w:szCs w:val="14"/>
                            </w:rPr>
                            <w:t>France – pobočka</w:t>
                          </w:r>
                          <w:r w:rsidRPr="00D836CD">
                            <w:rPr>
                              <w:b/>
                              <w:sz w:val="14"/>
                              <w:szCs w:val="14"/>
                            </w:rPr>
                            <w:t xml:space="preserve"> Praha </w:t>
                          </w:r>
                          <w:r w:rsidRPr="00D836CD">
                            <w:rPr>
                              <w:sz w:val="14"/>
                              <w:szCs w:val="14"/>
                            </w:rPr>
                            <w:br/>
                            <w:t xml:space="preserve">Na Florenci 2116/15, Nové Město, 110 </w:t>
                          </w:r>
                          <w:r w:rsidR="00466421" w:rsidRPr="00D836CD">
                            <w:rPr>
                              <w:sz w:val="14"/>
                              <w:szCs w:val="14"/>
                            </w:rPr>
                            <w:t>00 Praha</w:t>
                          </w:r>
                          <w:r w:rsidRPr="00D836CD">
                            <w:rPr>
                              <w:sz w:val="14"/>
                              <w:szCs w:val="14"/>
                            </w:rPr>
                            <w:t xml:space="preserve"> 1, Česká republika, </w:t>
                          </w:r>
                        </w:p>
                        <w:p w14:paraId="0538C4D7" w14:textId="77777777" w:rsidR="006556D4" w:rsidRPr="00D836CD" w:rsidRDefault="006556D4" w:rsidP="006556D4">
                          <w:pPr>
                            <w:rPr>
                              <w:sz w:val="14"/>
                              <w:szCs w:val="14"/>
                            </w:rPr>
                          </w:pPr>
                          <w:r w:rsidRPr="00D836CD">
                            <w:rPr>
                              <w:sz w:val="14"/>
                              <w:szCs w:val="14"/>
                            </w:rPr>
                            <w:t xml:space="preserve">IČ: 07482728 </w:t>
                          </w:r>
                          <w:r w:rsidRPr="00D836CD">
                            <w:rPr>
                              <w:sz w:val="14"/>
                              <w:szCs w:val="14"/>
                            </w:rPr>
                            <w:br/>
                            <w:t>Tel.: (+420) 225 024 555, Fax: (+420) 225 024 550, www.hsbc.cz</w:t>
                          </w:r>
                        </w:p>
                        <w:p w14:paraId="6DE415D7" w14:textId="77777777" w:rsidR="00045A78" w:rsidRPr="00466421" w:rsidRDefault="006556D4" w:rsidP="00466421">
                          <w:pPr>
                            <w:pStyle w:val="Footer"/>
                            <w:rPr>
                              <w:rFonts w:ascii="Univers Next for HSBC Regular" w:hAnsi="Univers Next for HSBC Regular" w:cs="Arial"/>
                            </w:rPr>
                          </w:pPr>
                          <w:r w:rsidRPr="00A133D4">
                            <w:rPr>
                              <w:rFonts w:ascii="Univers Next for HSBC Regular" w:hAnsi="Univers Next for HSBC Regular" w:cs="Arial"/>
                              <w:i/>
                              <w:sz w:val="14"/>
                              <w:szCs w:val="14"/>
                            </w:rPr>
                            <w:t xml:space="preserve">HSBC </w:t>
                          </w:r>
                          <w:r w:rsidR="00466421" w:rsidRPr="00A133D4">
                            <w:rPr>
                              <w:rFonts w:ascii="Univers Next for HSBC Regular" w:hAnsi="Univers Next for HSBC Regular" w:cs="Arial"/>
                              <w:i/>
                              <w:sz w:val="14"/>
                              <w:szCs w:val="14"/>
                            </w:rPr>
                            <w:t>France – pobočka</w:t>
                          </w:r>
                          <w:r w:rsidRPr="00A133D4">
                            <w:rPr>
                              <w:rFonts w:ascii="Univers Next for HSBC Regular" w:hAnsi="Univers Next for HSBC Regular" w:cs="Arial"/>
                              <w:i/>
                              <w:sz w:val="14"/>
                              <w:szCs w:val="14"/>
                            </w:rPr>
                            <w:t xml:space="preserve"> Praha zapsaná v obchodním rejstříku vedeném Městským soudem v Praze, oddíl A, vložka 78901, jako pobočka </w:t>
                          </w:r>
                          <w:r w:rsidRPr="00A133D4">
                            <w:rPr>
                              <w:rFonts w:ascii="Univers Next for HSBC Regular" w:hAnsi="Univers Next for HSBC Regular" w:cs="Arial"/>
                              <w:i/>
                              <w:sz w:val="14"/>
                              <w:szCs w:val="14"/>
                            </w:rPr>
                            <w:br/>
                            <w:t>HSBC FRANCE (registrační číslo 775 670</w:t>
                          </w:r>
                          <w:r w:rsidRPr="00A133D4">
                            <w:rPr>
                              <w:rFonts w:ascii="Univers Next for HSBC Regular" w:eastAsia="MS Mincho" w:hAnsi="Univers Next for HSBC Regular" w:cs="Arial"/>
                              <w:i/>
                              <w:color w:val="000000"/>
                              <w:sz w:val="14"/>
                              <w:szCs w:val="14"/>
                            </w:rPr>
                            <w:t xml:space="preserve"> 284 RCS Paris),</w:t>
                          </w:r>
                          <w:r w:rsidRPr="00A133D4">
                            <w:rPr>
                              <w:rFonts w:ascii="Univers Next for HSBC Regular" w:hAnsi="Univers Next for HSBC Regular" w:cs="Arial"/>
                              <w:i/>
                              <w:sz w:val="14"/>
                              <w:szCs w:val="14"/>
                            </w:rPr>
                            <w:t xml:space="preserve"> se sídlem 103, avenue des Champs-Elysées, 75008 Paříž, Francie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0427" id="_x0000_t202" coordsize="21600,21600" o:spt="202" path="m,l,21600r21600,l21600,xe">
              <v:stroke joinstyle="miter"/>
              <v:path gradientshapeok="t" o:connecttype="rect"/>
            </v:shapetype>
            <v:shape id="Text Box 2" o:spid="_x0000_s1027" type="#_x0000_t202" style="position:absolute;margin-left:215.55pt;margin-top:-11.5pt;width:234.35pt;height:9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" filled="f" stroked="f">
              <v:path arrowok="t"/>
              <v:textbox>
                <w:txbxContent>
                  <w:p w14:paraId="5683469C" w14:textId="77777777" w:rsidR="00466421" w:rsidRDefault="006556D4" w:rsidP="006556D4">
                    <w:pPr>
                      <w:rPr>
                        <w:sz w:val="14"/>
                        <w:szCs w:val="14"/>
                      </w:rPr>
                    </w:pPr>
                    <w:r w:rsidRPr="00D836CD">
                      <w:rPr>
                        <w:b/>
                        <w:sz w:val="14"/>
                        <w:szCs w:val="14"/>
                      </w:rPr>
                      <w:t xml:space="preserve">HSBC FRANCE </w:t>
                    </w:r>
                    <w:r w:rsidRPr="00D836CD">
                      <w:rPr>
                        <w:sz w:val="14"/>
                        <w:szCs w:val="14"/>
                      </w:rPr>
                      <w:t>jednající prostřednictvím</w:t>
                    </w:r>
                    <w:r w:rsidRPr="00D836CD">
                      <w:rPr>
                        <w:b/>
                        <w:sz w:val="14"/>
                        <w:szCs w:val="14"/>
                      </w:rPr>
                      <w:t xml:space="preserve"> HSBC </w:t>
                    </w:r>
                    <w:r w:rsidR="00466421" w:rsidRPr="00D836CD">
                      <w:rPr>
                        <w:b/>
                        <w:sz w:val="14"/>
                        <w:szCs w:val="14"/>
                      </w:rPr>
                      <w:t>France – pobočka</w:t>
                    </w:r>
                    <w:r w:rsidRPr="00D836CD">
                      <w:rPr>
                        <w:b/>
                        <w:sz w:val="14"/>
                        <w:szCs w:val="14"/>
                      </w:rPr>
                      <w:t xml:space="preserve"> Praha </w:t>
                    </w:r>
                    <w:r w:rsidRPr="00D836CD">
                      <w:rPr>
                        <w:sz w:val="14"/>
                        <w:szCs w:val="14"/>
                      </w:rPr>
                      <w:br/>
                      <w:t xml:space="preserve">Na Florenci 2116/15, Nové Město, 110 </w:t>
                    </w:r>
                    <w:r w:rsidR="00466421" w:rsidRPr="00D836CD">
                      <w:rPr>
                        <w:sz w:val="14"/>
                        <w:szCs w:val="14"/>
                      </w:rPr>
                      <w:t>00 Praha</w:t>
                    </w:r>
                    <w:r w:rsidRPr="00D836CD">
                      <w:rPr>
                        <w:sz w:val="14"/>
                        <w:szCs w:val="14"/>
                      </w:rPr>
                      <w:t xml:space="preserve"> 1, Česká republika, </w:t>
                    </w:r>
                  </w:p>
                  <w:p w14:paraId="0538C4D7" w14:textId="77777777" w:rsidR="006556D4" w:rsidRPr="00D836CD" w:rsidRDefault="006556D4" w:rsidP="006556D4">
                    <w:pPr>
                      <w:rPr>
                        <w:sz w:val="14"/>
                        <w:szCs w:val="14"/>
                      </w:rPr>
                    </w:pPr>
                    <w:r w:rsidRPr="00D836CD">
                      <w:rPr>
                        <w:sz w:val="14"/>
                        <w:szCs w:val="14"/>
                      </w:rPr>
                      <w:t xml:space="preserve">IČ: 07482728 </w:t>
                    </w:r>
                    <w:r w:rsidRPr="00D836CD">
                      <w:rPr>
                        <w:sz w:val="14"/>
                        <w:szCs w:val="14"/>
                      </w:rPr>
                      <w:br/>
                      <w:t>Tel.: (+420) 225 024 555, Fax: (+420) 225 024 550, www.hsbc.cz</w:t>
                    </w:r>
                  </w:p>
                  <w:p w14:paraId="6DE415D7" w14:textId="77777777" w:rsidR="00045A78" w:rsidRPr="00466421" w:rsidRDefault="006556D4" w:rsidP="00466421">
                    <w:pPr>
                      <w:pStyle w:val="Footer"/>
                      <w:rPr>
                        <w:rFonts w:ascii="Univers Next for HSBC Regular" w:hAnsi="Univers Next for HSBC Regular" w:cs="Arial"/>
                      </w:rPr>
                    </w:pPr>
                    <w:r w:rsidRPr="00A133D4">
                      <w:rPr>
                        <w:rFonts w:ascii="Univers Next for HSBC Regular" w:hAnsi="Univers Next for HSBC Regular" w:cs="Arial"/>
                        <w:i/>
                        <w:sz w:val="14"/>
                        <w:szCs w:val="14"/>
                      </w:rPr>
                      <w:t xml:space="preserve">HSBC </w:t>
                    </w:r>
                    <w:r w:rsidR="00466421" w:rsidRPr="00A133D4">
                      <w:rPr>
                        <w:rFonts w:ascii="Univers Next for HSBC Regular" w:hAnsi="Univers Next for HSBC Regular" w:cs="Arial"/>
                        <w:i/>
                        <w:sz w:val="14"/>
                        <w:szCs w:val="14"/>
                      </w:rPr>
                      <w:t>France – pobočka</w:t>
                    </w:r>
                    <w:r w:rsidRPr="00A133D4">
                      <w:rPr>
                        <w:rFonts w:ascii="Univers Next for HSBC Regular" w:hAnsi="Univers Next for HSBC Regular" w:cs="Arial"/>
                        <w:i/>
                        <w:sz w:val="14"/>
                        <w:szCs w:val="14"/>
                      </w:rPr>
                      <w:t xml:space="preserve"> Praha zapsaná v obchodním rejstříku vedeném Městským soudem v Praze, oddíl A, vložka 78901, jako pobočka </w:t>
                    </w:r>
                    <w:r w:rsidRPr="00A133D4">
                      <w:rPr>
                        <w:rFonts w:ascii="Univers Next for HSBC Regular" w:hAnsi="Univers Next for HSBC Regular" w:cs="Arial"/>
                        <w:i/>
                        <w:sz w:val="14"/>
                        <w:szCs w:val="14"/>
                      </w:rPr>
                      <w:br/>
                      <w:t>HSBC FRANCE (registrační číslo 775 670</w:t>
                    </w:r>
                    <w:r w:rsidRPr="00A133D4">
                      <w:rPr>
                        <w:rFonts w:ascii="Univers Next for HSBC Regular" w:eastAsia="MS Mincho" w:hAnsi="Univers Next for HSBC Regular" w:cs="Arial"/>
                        <w:i/>
                        <w:color w:val="000000"/>
                        <w:sz w:val="14"/>
                        <w:szCs w:val="14"/>
                      </w:rPr>
                      <w:t xml:space="preserve"> 284 RCS Paris),</w:t>
                    </w:r>
                    <w:r w:rsidRPr="00A133D4">
                      <w:rPr>
                        <w:rFonts w:ascii="Univers Next for HSBC Regular" w:hAnsi="Univers Next for HSBC Regular" w:cs="Arial"/>
                        <w:i/>
                        <w:sz w:val="14"/>
                        <w:szCs w:val="14"/>
                      </w:rPr>
                      <w:t xml:space="preserve"> se sídlem 103, avenue des Champs-Elysées, 75008 Paříž, Francie</w:t>
                    </w:r>
                  </w:p>
                </w:txbxContent>
              </v:textbox>
            </v:shape>
          </w:pict>
        </mc:Fallback>
      </mc:AlternateContent>
    </w:r>
    <w:r>
      <w:rPr>
        <w:noProof/>
        <w:lang w:val="en-US"/>
      </w:rPr>
      <mc:AlternateContent>
        <mc:Choice Requires="wps">
          <w:drawing>
            <wp:anchor distT="0" distB="0" distL="114935" distR="114935" simplePos="0" relativeHeight="251658752" behindDoc="1" locked="0" layoutInCell="1" allowOverlap="1" wp14:anchorId="1262C4EB" wp14:editId="72291C39">
              <wp:simplePos x="0" y="0"/>
              <wp:positionH relativeFrom="column">
                <wp:posOffset>-26670</wp:posOffset>
              </wp:positionH>
              <wp:positionV relativeFrom="paragraph">
                <wp:posOffset>-121920</wp:posOffset>
              </wp:positionV>
              <wp:extent cx="1626235" cy="487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B9414" w14:textId="77777777" w:rsidR="00045A78" w:rsidRDefault="00045A78" w:rsidP="00140EF7">
                          <w:pPr>
                            <w:rPr>
                              <w:sz w:val="14"/>
                            </w:rPr>
                          </w:pPr>
                          <w:r>
                            <w:rPr>
                              <w:sz w:val="14"/>
                            </w:rPr>
                            <w:t>Tato tisková zpráva je vydána</w:t>
                          </w:r>
                        </w:p>
                        <w:p w14:paraId="0B5C8727" w14:textId="77777777" w:rsidR="00045A78" w:rsidRDefault="006556D4" w:rsidP="00140EF7">
                          <w:pPr>
                            <w:rPr>
                              <w:b/>
                              <w:sz w:val="24"/>
                            </w:rPr>
                          </w:pPr>
                          <w:r>
                            <w:rPr>
                              <w:b/>
                              <w:sz w:val="24"/>
                            </w:rPr>
                            <w:t>HSBC France – pobočka Praha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C4EB" id="Text Box 1" o:spid="_x0000_s1028" type="#_x0000_t202" style="position:absolute;margin-left:-2.1pt;margin-top:-9.6pt;width:128.05pt;height:38.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" stroked="f">
              <v:fill opacity="0"/>
              <v:path arrowok="t"/>
              <v:textbox inset="0,0,0,0">
                <w:txbxContent>
                  <w:p w14:paraId="02AB9414" w14:textId="77777777" w:rsidR="00045A78" w:rsidRDefault="00045A78" w:rsidP="00140EF7">
                    <w:pPr>
                      <w:rPr>
                        <w:sz w:val="14"/>
                      </w:rPr>
                    </w:pPr>
                    <w:r>
                      <w:rPr>
                        <w:sz w:val="14"/>
                      </w:rPr>
                      <w:t>Tato tisková zpráva je vydána</w:t>
                    </w:r>
                  </w:p>
                  <w:p w14:paraId="0B5C8727" w14:textId="77777777" w:rsidR="00045A78" w:rsidRDefault="006556D4" w:rsidP="00140EF7">
                    <w:pPr>
                      <w:rPr>
                        <w:b/>
                        <w:sz w:val="24"/>
                      </w:rPr>
                    </w:pPr>
                    <w:r>
                      <w:rPr>
                        <w:b/>
                        <w:sz w:val="24"/>
                      </w:rPr>
                      <w:t>HSBC France – pobočka Praha</w:t>
                    </w:r>
                  </w:p>
                </w:txbxContent>
              </v:textbox>
            </v:shape>
          </w:pict>
        </mc:Fallback>
      </mc:AlternateContent>
    </w:r>
    <w:r w:rsidR="004664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CC6D" w14:textId="77777777" w:rsidR="00093E57" w:rsidRDefault="00093E57">
      <w:r>
        <w:separator/>
      </w:r>
    </w:p>
  </w:footnote>
  <w:footnote w:type="continuationSeparator" w:id="0">
    <w:p w14:paraId="598C04FB" w14:textId="77777777" w:rsidR="00093E57" w:rsidRDefault="0009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2C1A" w14:textId="77777777" w:rsidR="00045A78" w:rsidRDefault="00B90CB3">
    <w:pPr>
      <w:pStyle w:val="Header"/>
    </w:pPr>
    <w:r>
      <w:rPr>
        <w:i/>
        <w:noProof/>
        <w:sz w:val="14"/>
        <w:lang w:val="en-US"/>
      </w:rPr>
      <w:drawing>
        <wp:inline distT="0" distB="0" distL="0" distR="0" wp14:anchorId="79D05D35" wp14:editId="4994A121">
          <wp:extent cx="2793365" cy="512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5124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BD26" w14:textId="77777777" w:rsidR="00045A78" w:rsidRPr="004A510E" w:rsidRDefault="00B90CB3" w:rsidP="0018329E">
    <w:pPr>
      <w:pStyle w:val="Header"/>
      <w:tabs>
        <w:tab w:val="clear" w:pos="4153"/>
        <w:tab w:val="clear" w:pos="8306"/>
        <w:tab w:val="left" w:pos="1243"/>
      </w:tabs>
      <w:rPr>
        <w:sz w:val="56"/>
        <w:szCs w:val="56"/>
      </w:rPr>
    </w:pPr>
    <w:r>
      <w:rPr>
        <w:noProof/>
        <w:lang w:val="en-US"/>
      </w:rPr>
      <w:drawing>
        <wp:anchor distT="0" distB="0" distL="114300" distR="114300" simplePos="0" relativeHeight="251659776" behindDoc="1" locked="0" layoutInCell="1" allowOverlap="1" wp14:anchorId="65F657F6" wp14:editId="36996491">
          <wp:simplePos x="0" y="0"/>
          <wp:positionH relativeFrom="column">
            <wp:posOffset>-390525</wp:posOffset>
          </wp:positionH>
          <wp:positionV relativeFrom="paragraph">
            <wp:posOffset>-179070</wp:posOffset>
          </wp:positionV>
          <wp:extent cx="1619250" cy="845820"/>
          <wp:effectExtent l="0" t="0" r="0" b="0"/>
          <wp:wrapThrough wrapText="bothSides">
            <wp:wrapPolygon edited="0">
              <wp:start x="5252" y="6486"/>
              <wp:lineTo x="3388" y="10703"/>
              <wp:lineTo x="4066" y="12324"/>
              <wp:lineTo x="5082" y="14270"/>
              <wp:lineTo x="5252" y="14919"/>
              <wp:lineTo x="9826" y="14919"/>
              <wp:lineTo x="10673" y="14270"/>
              <wp:lineTo x="17788" y="12649"/>
              <wp:lineTo x="18296" y="9405"/>
              <wp:lineTo x="17280" y="8757"/>
              <wp:lineTo x="9826" y="6486"/>
              <wp:lineTo x="5252" y="6486"/>
            </wp:wrapPolygon>
          </wp:wrapThrough>
          <wp:docPr id="6" name="Picture 5" descr="HSBC_MASTERBRAND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SBC_MASTERBRAND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45820"/>
                  </a:xfrm>
                  <a:prstGeom prst="rect">
                    <a:avLst/>
                  </a:prstGeom>
                  <a:noFill/>
                </pic:spPr>
              </pic:pic>
            </a:graphicData>
          </a:graphic>
          <wp14:sizeRelH relativeFrom="page">
            <wp14:pctWidth>0</wp14:pctWidth>
          </wp14:sizeRelH>
          <wp14:sizeRelV relativeFrom="page">
            <wp14:pctHeight>0</wp14:pctHeight>
          </wp14:sizeRelV>
        </wp:anchor>
      </w:drawing>
    </w:r>
  </w:p>
  <w:p w14:paraId="4CB63CE3" w14:textId="77777777" w:rsidR="00045A78" w:rsidRDefault="00B90CB3">
    <w:pPr>
      <w:pStyle w:val="Header"/>
      <w:ind w:left="-851"/>
    </w:pPr>
    <w:r>
      <w:rPr>
        <w:noProof/>
        <w:lang w:val="en-US"/>
      </w:rPr>
      <mc:AlternateContent>
        <mc:Choice Requires="wps">
          <w:drawing>
            <wp:anchor distT="0" distB="0" distL="114300" distR="114300" simplePos="0" relativeHeight="251655680" behindDoc="0" locked="0" layoutInCell="0" allowOverlap="1" wp14:anchorId="35B3CD3E" wp14:editId="4DD590B3">
              <wp:simplePos x="0" y="0"/>
              <wp:positionH relativeFrom="column">
                <wp:posOffset>4436745</wp:posOffset>
              </wp:positionH>
              <wp:positionV relativeFrom="paragraph">
                <wp:posOffset>2110105</wp:posOffset>
              </wp:positionV>
              <wp:extent cx="3108960" cy="36576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3108960" cy="3657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E2CA108" w14:textId="77777777" w:rsidR="00B90CB3" w:rsidRPr="00D249C8" w:rsidRDefault="00B90CB3" w:rsidP="00B90CB3">
                          <w:pPr>
                            <w:jc w:val="center"/>
                            <w:rPr>
                              <w:sz w:val="24"/>
                              <w:szCs w:val="24"/>
                            </w:rPr>
                          </w:pPr>
                          <w:r w:rsidRPr="00D249C8">
                            <w:rPr>
                              <w:rFonts w:ascii="Arial" w:hAnsi="Arial" w:cs="Arial"/>
                              <w:color w:val="C0C0C0"/>
                              <w:sz w:val="32"/>
                              <w:szCs w:val="32"/>
                            </w:rPr>
                            <w:t>Tisková zpráva</w:t>
                          </w:r>
                        </w:p>
                      </w:txbxContent>
                    </wps:txbx>
                    <wps:bodyPr wrap="square" lIns="0" tIns="0" rIns="0" bIns="0" numCol="1" fromWordArt="1">
                      <a:prstTxWarp prst="textPlain">
                        <a:avLst>
                          <a:gd name="adj" fmla="val 50019"/>
                        </a:avLst>
                      </a:prstTxWarp>
                      <a:noAutofit/>
                    </wps:bodyPr>
                  </wps:wsp>
                </a:graphicData>
              </a:graphic>
              <wp14:sizeRelH relativeFrom="page">
                <wp14:pctWidth>0</wp14:pctWidth>
              </wp14:sizeRelH>
              <wp14:sizeRelV relativeFrom="page">
                <wp14:pctHeight>0</wp14:pctHeight>
              </wp14:sizeRelV>
            </wp:anchor>
          </w:drawing>
        </mc:Choice>
        <mc:Fallback>
          <w:pict>
            <v:shapetype w14:anchorId="35B3CD3E" id="_x0000_t202" coordsize="21600,21600" o:spt="202" path="m,l,21600r21600,l21600,xe">
              <v:stroke joinstyle="miter"/>
              <v:path gradientshapeok="t" o:connecttype="rect"/>
            </v:shapetype>
            <v:shape id="WordArt 4" o:spid="_x0000_s1026" type="#_x0000_t202" style="position:absolute;left:0;text-align:left;margin-left:349.35pt;margin-top:166.15pt;width:244.8pt;height:28.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" o:allowincell="f" filled="f" stroked="f">
              <v:stroke joinstyle="round"/>
              <v:path arrowok="t"/>
              <v:textbox inset="0,0,0,0">
                <w:txbxContent>
                  <w:p w14:paraId="2E2CA108" w14:textId="77777777" w:rsidR="00B90CB3" w:rsidRPr="00D249C8" w:rsidRDefault="00B90CB3" w:rsidP="00B90CB3">
                    <w:pPr>
                      <w:jc w:val="center"/>
                      <w:rPr>
                        <w:sz w:val="24"/>
                        <w:szCs w:val="24"/>
                      </w:rPr>
                    </w:pPr>
                    <w:r w:rsidRPr="00D249C8">
                      <w:rPr>
                        <w:rFonts w:ascii="Arial" w:hAnsi="Arial" w:cs="Arial"/>
                        <w:color w:val="C0C0C0"/>
                        <w:sz w:val="32"/>
                        <w:szCs w:val="32"/>
                      </w:rPr>
                      <w:t>Tisková zpráva</w:t>
                    </w:r>
                  </w:p>
                </w:txbxContent>
              </v:textbox>
            </v:shape>
          </w:pict>
        </mc:Fallback>
      </mc:AlternateContent>
    </w:r>
    <w:r>
      <w:rPr>
        <w:noProof/>
        <w:lang w:val="en-US"/>
      </w:rPr>
      <mc:AlternateContent>
        <mc:Choice Requires="wps">
          <w:drawing>
            <wp:anchor distT="0" distB="0" distL="114300" distR="114300" simplePos="0" relativeHeight="251656704" behindDoc="0" locked="0" layoutInCell="0" allowOverlap="1" wp14:anchorId="151D0051" wp14:editId="14A1DC60">
              <wp:simplePos x="0" y="0"/>
              <wp:positionH relativeFrom="column">
                <wp:posOffset>5716905</wp:posOffset>
              </wp:positionH>
              <wp:positionV relativeFrom="paragraph">
                <wp:posOffset>738505</wp:posOffset>
              </wp:positionV>
              <wp:extent cx="0" cy="932688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326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AFF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15pt,58.15pt" to="450.15pt,7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" o:allowincell="f">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988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7D85D5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CD081B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F18C2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C547E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C220F33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266B88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378335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7257E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907D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A04702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53E606C6"/>
    <w:lvl w:ilvl="0" w:tplc="5BD693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B"/>
    <w:multiLevelType w:val="hybridMultilevel"/>
    <w:tmpl w:val="DB90A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42B08ED"/>
    <w:multiLevelType w:val="singleLevel"/>
    <w:tmpl w:val="4984A004"/>
    <w:lvl w:ilvl="0">
      <w:start w:val="1"/>
      <w:numFmt w:val="decimal"/>
      <w:lvlText w:val="%1."/>
      <w:lvlJc w:val="left"/>
      <w:pPr>
        <w:tabs>
          <w:tab w:val="num" w:pos="360"/>
        </w:tabs>
        <w:ind w:left="360" w:hanging="360"/>
      </w:pPr>
      <w:rPr>
        <w:rFonts w:hint="default"/>
      </w:rPr>
    </w:lvl>
  </w:abstractNum>
  <w:abstractNum w:abstractNumId="14" w15:restartNumberingAfterBreak="0">
    <w:nsid w:val="084C7311"/>
    <w:multiLevelType w:val="singleLevel"/>
    <w:tmpl w:val="8B8C1AD0"/>
    <w:lvl w:ilvl="0">
      <w:start w:val="1"/>
      <w:numFmt w:val="decimal"/>
      <w:lvlText w:val="%1)"/>
      <w:lvlJc w:val="left"/>
      <w:pPr>
        <w:tabs>
          <w:tab w:val="num" w:pos="360"/>
        </w:tabs>
        <w:ind w:left="360" w:hanging="360"/>
      </w:pPr>
      <w:rPr>
        <w:rFonts w:hint="default"/>
      </w:rPr>
    </w:lvl>
  </w:abstractNum>
  <w:abstractNum w:abstractNumId="15" w15:restartNumberingAfterBreak="0">
    <w:nsid w:val="090D5B0F"/>
    <w:multiLevelType w:val="hybridMultilevel"/>
    <w:tmpl w:val="34F619D8"/>
    <w:lvl w:ilvl="0" w:tplc="4D564A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31C8A"/>
    <w:multiLevelType w:val="hybridMultilevel"/>
    <w:tmpl w:val="0FD4995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6236847"/>
    <w:multiLevelType w:val="hybridMultilevel"/>
    <w:tmpl w:val="7486B552"/>
    <w:lvl w:ilvl="0" w:tplc="4D564A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385AFB"/>
    <w:multiLevelType w:val="multilevel"/>
    <w:tmpl w:val="2E3C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F82FDA"/>
    <w:multiLevelType w:val="hybridMultilevel"/>
    <w:tmpl w:val="056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A7512A"/>
    <w:multiLevelType w:val="hybridMultilevel"/>
    <w:tmpl w:val="ECD4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902643"/>
    <w:multiLevelType w:val="hybridMultilevel"/>
    <w:tmpl w:val="187CC382"/>
    <w:lvl w:ilvl="0" w:tplc="4D564A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583D39"/>
    <w:multiLevelType w:val="singleLevel"/>
    <w:tmpl w:val="57C220B2"/>
    <w:lvl w:ilvl="0">
      <w:start w:val="1"/>
      <w:numFmt w:val="bullet"/>
      <w:lvlText w:val=""/>
      <w:lvlJc w:val="left"/>
      <w:pPr>
        <w:tabs>
          <w:tab w:val="num" w:pos="397"/>
        </w:tabs>
        <w:ind w:left="397" w:hanging="397"/>
      </w:pPr>
      <w:rPr>
        <w:rFonts w:ascii="Symbol" w:hAnsi="Symbol" w:hint="default"/>
      </w:rPr>
    </w:lvl>
  </w:abstractNum>
  <w:abstractNum w:abstractNumId="23" w15:restartNumberingAfterBreak="0">
    <w:nsid w:val="21766884"/>
    <w:multiLevelType w:val="singleLevel"/>
    <w:tmpl w:val="CDC82E9A"/>
    <w:lvl w:ilvl="0">
      <w:start w:val="1"/>
      <w:numFmt w:val="decimal"/>
      <w:lvlText w:val="%1."/>
      <w:lvlJc w:val="left"/>
      <w:pPr>
        <w:tabs>
          <w:tab w:val="num" w:pos="360"/>
        </w:tabs>
        <w:ind w:left="360" w:hanging="360"/>
      </w:pPr>
      <w:rPr>
        <w:rFonts w:hint="default"/>
      </w:rPr>
    </w:lvl>
  </w:abstractNum>
  <w:abstractNum w:abstractNumId="24" w15:restartNumberingAfterBreak="0">
    <w:nsid w:val="21E61E66"/>
    <w:multiLevelType w:val="hybridMultilevel"/>
    <w:tmpl w:val="D7D818D4"/>
    <w:lvl w:ilvl="0" w:tplc="53A429D4">
      <w:start w:val="1"/>
      <w:numFmt w:val="bullet"/>
      <w:lvlText w:val=""/>
      <w:lvlJc w:val="left"/>
      <w:pPr>
        <w:tabs>
          <w:tab w:val="num" w:pos="1704"/>
        </w:tabs>
        <w:ind w:left="1704"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D44F1A"/>
    <w:multiLevelType w:val="hybridMultilevel"/>
    <w:tmpl w:val="EBDE601E"/>
    <w:lvl w:ilvl="0" w:tplc="260CE4B8">
      <w:start w:val="1"/>
      <w:numFmt w:val="decimal"/>
      <w:lvlText w:val="%1."/>
      <w:lvlJc w:val="left"/>
      <w:pPr>
        <w:tabs>
          <w:tab w:val="num" w:pos="720"/>
        </w:tabs>
        <w:ind w:left="720" w:hanging="360"/>
      </w:pPr>
      <w:rPr>
        <w:rFonts w:hint="default"/>
        <w:color w:val="40315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E4036C"/>
    <w:multiLevelType w:val="hybridMultilevel"/>
    <w:tmpl w:val="07768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A25FA7"/>
    <w:multiLevelType w:val="multilevel"/>
    <w:tmpl w:val="C672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437B53"/>
    <w:multiLevelType w:val="hybridMultilevel"/>
    <w:tmpl w:val="D2627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A35D46"/>
    <w:multiLevelType w:val="hybridMultilevel"/>
    <w:tmpl w:val="1A8E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01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993718C"/>
    <w:multiLevelType w:val="multilevel"/>
    <w:tmpl w:val="9C98F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9C37F2"/>
    <w:multiLevelType w:val="singleLevel"/>
    <w:tmpl w:val="D7ECFF32"/>
    <w:lvl w:ilvl="0">
      <w:start w:val="1"/>
      <w:numFmt w:val="decimal"/>
      <w:lvlText w:val="%1."/>
      <w:lvlJc w:val="left"/>
      <w:pPr>
        <w:tabs>
          <w:tab w:val="num" w:pos="360"/>
        </w:tabs>
        <w:ind w:left="360" w:hanging="360"/>
      </w:pPr>
      <w:rPr>
        <w:b/>
        <w:i w:val="0"/>
      </w:rPr>
    </w:lvl>
  </w:abstractNum>
  <w:abstractNum w:abstractNumId="33" w15:restartNumberingAfterBreak="0">
    <w:nsid w:val="485B1F0F"/>
    <w:multiLevelType w:val="hybridMultilevel"/>
    <w:tmpl w:val="7E6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9667AE"/>
    <w:multiLevelType w:val="hybridMultilevel"/>
    <w:tmpl w:val="9E780CC0"/>
    <w:lvl w:ilvl="0" w:tplc="937C6696">
      <w:numFmt w:val="bullet"/>
      <w:lvlText w:val="•"/>
      <w:lvlJc w:val="left"/>
      <w:pPr>
        <w:ind w:left="1471" w:hanging="360"/>
      </w:pPr>
      <w:rPr>
        <w:rFonts w:ascii="Times New Roman" w:eastAsia="Times New Roman" w:hAnsi="Times New Roman" w:cs="Times New Roman" w:hint="default"/>
        <w:color w:val="181719"/>
        <w:w w:val="99"/>
        <w:sz w:val="22"/>
        <w:szCs w:val="22"/>
      </w:rPr>
    </w:lvl>
    <w:lvl w:ilvl="1" w:tplc="E7B491F8">
      <w:numFmt w:val="bullet"/>
      <w:lvlText w:val="•"/>
      <w:lvlJc w:val="left"/>
      <w:pPr>
        <w:ind w:left="6780" w:hanging="360"/>
      </w:pPr>
      <w:rPr>
        <w:rFonts w:hint="default"/>
      </w:rPr>
    </w:lvl>
    <w:lvl w:ilvl="2" w:tplc="62908E54">
      <w:numFmt w:val="bullet"/>
      <w:lvlText w:val="•"/>
      <w:lvlJc w:val="left"/>
      <w:pPr>
        <w:ind w:left="7024" w:hanging="360"/>
      </w:pPr>
      <w:rPr>
        <w:rFonts w:hint="default"/>
      </w:rPr>
    </w:lvl>
    <w:lvl w:ilvl="3" w:tplc="99C812EE">
      <w:numFmt w:val="bullet"/>
      <w:lvlText w:val="•"/>
      <w:lvlJc w:val="left"/>
      <w:pPr>
        <w:ind w:left="7268" w:hanging="360"/>
      </w:pPr>
      <w:rPr>
        <w:rFonts w:hint="default"/>
      </w:rPr>
    </w:lvl>
    <w:lvl w:ilvl="4" w:tplc="83CA6D4C">
      <w:numFmt w:val="bullet"/>
      <w:lvlText w:val="•"/>
      <w:lvlJc w:val="left"/>
      <w:pPr>
        <w:ind w:left="7513" w:hanging="360"/>
      </w:pPr>
      <w:rPr>
        <w:rFonts w:hint="default"/>
      </w:rPr>
    </w:lvl>
    <w:lvl w:ilvl="5" w:tplc="7276B550">
      <w:numFmt w:val="bullet"/>
      <w:lvlText w:val="•"/>
      <w:lvlJc w:val="left"/>
      <w:pPr>
        <w:ind w:left="7757" w:hanging="360"/>
      </w:pPr>
      <w:rPr>
        <w:rFonts w:hint="default"/>
      </w:rPr>
    </w:lvl>
    <w:lvl w:ilvl="6" w:tplc="628AA200">
      <w:numFmt w:val="bullet"/>
      <w:lvlText w:val="•"/>
      <w:lvlJc w:val="left"/>
      <w:pPr>
        <w:ind w:left="8002" w:hanging="360"/>
      </w:pPr>
      <w:rPr>
        <w:rFonts w:hint="default"/>
      </w:rPr>
    </w:lvl>
    <w:lvl w:ilvl="7" w:tplc="58B4740E">
      <w:numFmt w:val="bullet"/>
      <w:lvlText w:val="•"/>
      <w:lvlJc w:val="left"/>
      <w:pPr>
        <w:ind w:left="8246" w:hanging="360"/>
      </w:pPr>
      <w:rPr>
        <w:rFonts w:hint="default"/>
      </w:rPr>
    </w:lvl>
    <w:lvl w:ilvl="8" w:tplc="BD4A6E2C">
      <w:numFmt w:val="bullet"/>
      <w:lvlText w:val="•"/>
      <w:lvlJc w:val="left"/>
      <w:pPr>
        <w:ind w:left="8491" w:hanging="360"/>
      </w:pPr>
      <w:rPr>
        <w:rFonts w:hint="default"/>
      </w:rPr>
    </w:lvl>
  </w:abstractNum>
  <w:abstractNum w:abstractNumId="35" w15:restartNumberingAfterBreak="0">
    <w:nsid w:val="524A21A6"/>
    <w:multiLevelType w:val="hybridMultilevel"/>
    <w:tmpl w:val="6D7CAB78"/>
    <w:lvl w:ilvl="0" w:tplc="8A94F1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C977B1"/>
    <w:multiLevelType w:val="hybridMultilevel"/>
    <w:tmpl w:val="090A0424"/>
    <w:lvl w:ilvl="0" w:tplc="DC2078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132CCE"/>
    <w:multiLevelType w:val="hybridMultilevel"/>
    <w:tmpl w:val="304C3A3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8" w15:restartNumberingAfterBreak="0">
    <w:nsid w:val="5B173CB7"/>
    <w:multiLevelType w:val="hybridMultilevel"/>
    <w:tmpl w:val="DB90A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4B1D0D"/>
    <w:multiLevelType w:val="hybridMultilevel"/>
    <w:tmpl w:val="7E864CA0"/>
    <w:lvl w:ilvl="0" w:tplc="DCF4311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630111"/>
    <w:multiLevelType w:val="hybridMultilevel"/>
    <w:tmpl w:val="4958068E"/>
    <w:lvl w:ilvl="0" w:tplc="0DF4C21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50389"/>
    <w:multiLevelType w:val="multilevel"/>
    <w:tmpl w:val="BF9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844E82"/>
    <w:multiLevelType w:val="multilevel"/>
    <w:tmpl w:val="98825AE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32"/>
  </w:num>
  <w:num w:numId="2">
    <w:abstractNumId w:val="22"/>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3"/>
  </w:num>
  <w:num w:numId="15">
    <w:abstractNumId w:val="13"/>
  </w:num>
  <w:num w:numId="16">
    <w:abstractNumId w:val="30"/>
  </w:num>
  <w:num w:numId="17">
    <w:abstractNumId w:val="28"/>
  </w:num>
  <w:num w:numId="18">
    <w:abstractNumId w:val="35"/>
  </w:num>
  <w:num w:numId="19">
    <w:abstractNumId w:val="36"/>
  </w:num>
  <w:num w:numId="20">
    <w:abstractNumId w:val="24"/>
  </w:num>
  <w:num w:numId="21">
    <w:abstractNumId w:val="41"/>
  </w:num>
  <w:num w:numId="22">
    <w:abstractNumId w:val="40"/>
  </w:num>
  <w:num w:numId="23">
    <w:abstractNumId w:val="16"/>
  </w:num>
  <w:num w:numId="24">
    <w:abstractNumId w:val="39"/>
  </w:num>
  <w:num w:numId="25">
    <w:abstractNumId w:val="31"/>
  </w:num>
  <w:num w:numId="26">
    <w:abstractNumId w:val="25"/>
  </w:num>
  <w:num w:numId="27">
    <w:abstractNumId w:val="20"/>
  </w:num>
  <w:num w:numId="28">
    <w:abstractNumId w:val="37"/>
  </w:num>
  <w:num w:numId="29">
    <w:abstractNumId w:val="26"/>
  </w:num>
  <w:num w:numId="30">
    <w:abstractNumId w:val="42"/>
  </w:num>
  <w:num w:numId="31">
    <w:abstractNumId w:val="0"/>
  </w:num>
  <w:num w:numId="32">
    <w:abstractNumId w:val="11"/>
  </w:num>
  <w:num w:numId="33">
    <w:abstractNumId w:val="12"/>
  </w:num>
  <w:num w:numId="34">
    <w:abstractNumId w:val="38"/>
  </w:num>
  <w:num w:numId="35">
    <w:abstractNumId w:val="27"/>
  </w:num>
  <w:num w:numId="36">
    <w:abstractNumId w:val="34"/>
  </w:num>
  <w:num w:numId="37">
    <w:abstractNumId w:val="19"/>
  </w:num>
  <w:num w:numId="38">
    <w:abstractNumId w:val="29"/>
  </w:num>
  <w:num w:numId="39">
    <w:abstractNumId w:val="18"/>
  </w:num>
  <w:num w:numId="40">
    <w:abstractNumId w:val="33"/>
  </w:num>
  <w:num w:numId="41">
    <w:abstractNumId w:val="17"/>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D7"/>
    <w:rsid w:val="00000C78"/>
    <w:rsid w:val="000045E8"/>
    <w:rsid w:val="00004B1C"/>
    <w:rsid w:val="00007649"/>
    <w:rsid w:val="00011F57"/>
    <w:rsid w:val="0002258A"/>
    <w:rsid w:val="000327FC"/>
    <w:rsid w:val="000404E3"/>
    <w:rsid w:val="00043576"/>
    <w:rsid w:val="00043A91"/>
    <w:rsid w:val="00045A78"/>
    <w:rsid w:val="00050918"/>
    <w:rsid w:val="00050C0D"/>
    <w:rsid w:val="00051E2E"/>
    <w:rsid w:val="000533E1"/>
    <w:rsid w:val="00056152"/>
    <w:rsid w:val="00056B56"/>
    <w:rsid w:val="00063795"/>
    <w:rsid w:val="0007185F"/>
    <w:rsid w:val="000748E4"/>
    <w:rsid w:val="00074FCA"/>
    <w:rsid w:val="00076148"/>
    <w:rsid w:val="0008282B"/>
    <w:rsid w:val="00084772"/>
    <w:rsid w:val="00085CF4"/>
    <w:rsid w:val="00093E57"/>
    <w:rsid w:val="000A22A9"/>
    <w:rsid w:val="000A4CEB"/>
    <w:rsid w:val="000A5D6C"/>
    <w:rsid w:val="000A6627"/>
    <w:rsid w:val="000A6CDA"/>
    <w:rsid w:val="000B34E1"/>
    <w:rsid w:val="000B4734"/>
    <w:rsid w:val="000B4AA0"/>
    <w:rsid w:val="000B4C00"/>
    <w:rsid w:val="000B6CF4"/>
    <w:rsid w:val="000C232E"/>
    <w:rsid w:val="000D60F0"/>
    <w:rsid w:val="001042A8"/>
    <w:rsid w:val="00106E3C"/>
    <w:rsid w:val="0010777C"/>
    <w:rsid w:val="001116C9"/>
    <w:rsid w:val="00113287"/>
    <w:rsid w:val="001153A2"/>
    <w:rsid w:val="001176C9"/>
    <w:rsid w:val="001311D8"/>
    <w:rsid w:val="001319FB"/>
    <w:rsid w:val="00131A88"/>
    <w:rsid w:val="00140EF7"/>
    <w:rsid w:val="0014205F"/>
    <w:rsid w:val="00154742"/>
    <w:rsid w:val="001548FC"/>
    <w:rsid w:val="0016144F"/>
    <w:rsid w:val="00165577"/>
    <w:rsid w:val="0016564C"/>
    <w:rsid w:val="001718CD"/>
    <w:rsid w:val="00171E0E"/>
    <w:rsid w:val="00172201"/>
    <w:rsid w:val="00173542"/>
    <w:rsid w:val="0017579C"/>
    <w:rsid w:val="00175AFA"/>
    <w:rsid w:val="00176930"/>
    <w:rsid w:val="00180764"/>
    <w:rsid w:val="001824C4"/>
    <w:rsid w:val="0018329E"/>
    <w:rsid w:val="00192A93"/>
    <w:rsid w:val="00192B6E"/>
    <w:rsid w:val="00193585"/>
    <w:rsid w:val="00195784"/>
    <w:rsid w:val="00195C2A"/>
    <w:rsid w:val="00197874"/>
    <w:rsid w:val="001A67D3"/>
    <w:rsid w:val="001A7DB5"/>
    <w:rsid w:val="001B0044"/>
    <w:rsid w:val="001C20D8"/>
    <w:rsid w:val="001C335A"/>
    <w:rsid w:val="001C3B6B"/>
    <w:rsid w:val="001D04A1"/>
    <w:rsid w:val="001D206B"/>
    <w:rsid w:val="001D58B1"/>
    <w:rsid w:val="001D6CC8"/>
    <w:rsid w:val="001E04B0"/>
    <w:rsid w:val="001E19CD"/>
    <w:rsid w:val="001E34C3"/>
    <w:rsid w:val="001E57DB"/>
    <w:rsid w:val="001F10C2"/>
    <w:rsid w:val="001F11C2"/>
    <w:rsid w:val="001F3A96"/>
    <w:rsid w:val="001F4AC1"/>
    <w:rsid w:val="001F5CDE"/>
    <w:rsid w:val="002040EC"/>
    <w:rsid w:val="00211FE4"/>
    <w:rsid w:val="002138DB"/>
    <w:rsid w:val="002142A6"/>
    <w:rsid w:val="00214DAF"/>
    <w:rsid w:val="00216C34"/>
    <w:rsid w:val="00225871"/>
    <w:rsid w:val="002342F3"/>
    <w:rsid w:val="0024301C"/>
    <w:rsid w:val="002435CD"/>
    <w:rsid w:val="00247475"/>
    <w:rsid w:val="00250A87"/>
    <w:rsid w:val="002537C9"/>
    <w:rsid w:val="00257BC0"/>
    <w:rsid w:val="002600DF"/>
    <w:rsid w:val="00263904"/>
    <w:rsid w:val="00267764"/>
    <w:rsid w:val="002701CC"/>
    <w:rsid w:val="00277974"/>
    <w:rsid w:val="0028023D"/>
    <w:rsid w:val="00290ED5"/>
    <w:rsid w:val="00290F92"/>
    <w:rsid w:val="002946CE"/>
    <w:rsid w:val="002A5C2E"/>
    <w:rsid w:val="002B223B"/>
    <w:rsid w:val="002B3285"/>
    <w:rsid w:val="002C25B7"/>
    <w:rsid w:val="002C3316"/>
    <w:rsid w:val="002C5938"/>
    <w:rsid w:val="002D1556"/>
    <w:rsid w:val="002D243D"/>
    <w:rsid w:val="002D5BCF"/>
    <w:rsid w:val="002D6583"/>
    <w:rsid w:val="002E2020"/>
    <w:rsid w:val="002E49D5"/>
    <w:rsid w:val="002E6B7F"/>
    <w:rsid w:val="002E72E7"/>
    <w:rsid w:val="002E77BD"/>
    <w:rsid w:val="002F0BD7"/>
    <w:rsid w:val="002F177F"/>
    <w:rsid w:val="002F7B2A"/>
    <w:rsid w:val="00301AC2"/>
    <w:rsid w:val="00303BE6"/>
    <w:rsid w:val="00305348"/>
    <w:rsid w:val="0031347E"/>
    <w:rsid w:val="00314E27"/>
    <w:rsid w:val="003207AC"/>
    <w:rsid w:val="0032123B"/>
    <w:rsid w:val="00322BC1"/>
    <w:rsid w:val="00324BCE"/>
    <w:rsid w:val="0032761D"/>
    <w:rsid w:val="003309C4"/>
    <w:rsid w:val="0033127B"/>
    <w:rsid w:val="003320DC"/>
    <w:rsid w:val="003343FE"/>
    <w:rsid w:val="00336230"/>
    <w:rsid w:val="00343B74"/>
    <w:rsid w:val="00345652"/>
    <w:rsid w:val="00346EB2"/>
    <w:rsid w:val="00351280"/>
    <w:rsid w:val="00351F98"/>
    <w:rsid w:val="00352407"/>
    <w:rsid w:val="003536DF"/>
    <w:rsid w:val="00362B6F"/>
    <w:rsid w:val="00365C92"/>
    <w:rsid w:val="00366DF4"/>
    <w:rsid w:val="003679A0"/>
    <w:rsid w:val="00374BE1"/>
    <w:rsid w:val="00382B82"/>
    <w:rsid w:val="00384118"/>
    <w:rsid w:val="0038475E"/>
    <w:rsid w:val="00384F61"/>
    <w:rsid w:val="00385800"/>
    <w:rsid w:val="003913FF"/>
    <w:rsid w:val="00391F49"/>
    <w:rsid w:val="00392FDF"/>
    <w:rsid w:val="00395D66"/>
    <w:rsid w:val="003A07F2"/>
    <w:rsid w:val="003A1E93"/>
    <w:rsid w:val="003A28FA"/>
    <w:rsid w:val="003A6624"/>
    <w:rsid w:val="003B0DE6"/>
    <w:rsid w:val="003B5FB1"/>
    <w:rsid w:val="003B7CDB"/>
    <w:rsid w:val="003C0F84"/>
    <w:rsid w:val="003C5046"/>
    <w:rsid w:val="003C562B"/>
    <w:rsid w:val="003C696D"/>
    <w:rsid w:val="003C7E0C"/>
    <w:rsid w:val="003D0D05"/>
    <w:rsid w:val="003D1682"/>
    <w:rsid w:val="003D1B94"/>
    <w:rsid w:val="003D2E58"/>
    <w:rsid w:val="003D4942"/>
    <w:rsid w:val="003D5269"/>
    <w:rsid w:val="003D5CC2"/>
    <w:rsid w:val="003E61EA"/>
    <w:rsid w:val="003E741C"/>
    <w:rsid w:val="003E74CF"/>
    <w:rsid w:val="003F3895"/>
    <w:rsid w:val="003F5615"/>
    <w:rsid w:val="003F5B58"/>
    <w:rsid w:val="004000F3"/>
    <w:rsid w:val="00400E08"/>
    <w:rsid w:val="00415D2B"/>
    <w:rsid w:val="00416B69"/>
    <w:rsid w:val="004244D5"/>
    <w:rsid w:val="004350A1"/>
    <w:rsid w:val="00437AF0"/>
    <w:rsid w:val="00440B6D"/>
    <w:rsid w:val="0044171F"/>
    <w:rsid w:val="0044184E"/>
    <w:rsid w:val="00443FDE"/>
    <w:rsid w:val="00446BA7"/>
    <w:rsid w:val="00450C95"/>
    <w:rsid w:val="0045637B"/>
    <w:rsid w:val="00464348"/>
    <w:rsid w:val="004657F2"/>
    <w:rsid w:val="00466421"/>
    <w:rsid w:val="00467570"/>
    <w:rsid w:val="00467D42"/>
    <w:rsid w:val="004740B5"/>
    <w:rsid w:val="00474B89"/>
    <w:rsid w:val="004819B7"/>
    <w:rsid w:val="00487A10"/>
    <w:rsid w:val="00494B61"/>
    <w:rsid w:val="004A04F2"/>
    <w:rsid w:val="004A1ECF"/>
    <w:rsid w:val="004A27D8"/>
    <w:rsid w:val="004A510E"/>
    <w:rsid w:val="004A6DA2"/>
    <w:rsid w:val="004A7B12"/>
    <w:rsid w:val="004C0907"/>
    <w:rsid w:val="004C135C"/>
    <w:rsid w:val="004C3658"/>
    <w:rsid w:val="004C4553"/>
    <w:rsid w:val="004C5178"/>
    <w:rsid w:val="004D59B1"/>
    <w:rsid w:val="004D61EE"/>
    <w:rsid w:val="004D6BC4"/>
    <w:rsid w:val="004D71C3"/>
    <w:rsid w:val="004E062F"/>
    <w:rsid w:val="004E0EEC"/>
    <w:rsid w:val="004E1D63"/>
    <w:rsid w:val="004E217C"/>
    <w:rsid w:val="004E599B"/>
    <w:rsid w:val="004F2C76"/>
    <w:rsid w:val="004F3F6E"/>
    <w:rsid w:val="004F4E75"/>
    <w:rsid w:val="004F5E1D"/>
    <w:rsid w:val="00501391"/>
    <w:rsid w:val="005028F8"/>
    <w:rsid w:val="005040F9"/>
    <w:rsid w:val="00504F69"/>
    <w:rsid w:val="00505FAE"/>
    <w:rsid w:val="00512136"/>
    <w:rsid w:val="00520607"/>
    <w:rsid w:val="00521F1C"/>
    <w:rsid w:val="00522E8F"/>
    <w:rsid w:val="005273AA"/>
    <w:rsid w:val="00527EFC"/>
    <w:rsid w:val="0053095A"/>
    <w:rsid w:val="00531A77"/>
    <w:rsid w:val="00534070"/>
    <w:rsid w:val="005409C6"/>
    <w:rsid w:val="0054404D"/>
    <w:rsid w:val="00545BFA"/>
    <w:rsid w:val="00546743"/>
    <w:rsid w:val="0055434B"/>
    <w:rsid w:val="005578B2"/>
    <w:rsid w:val="00563582"/>
    <w:rsid w:val="0056618D"/>
    <w:rsid w:val="00586FA5"/>
    <w:rsid w:val="00592881"/>
    <w:rsid w:val="00592DF3"/>
    <w:rsid w:val="00596E91"/>
    <w:rsid w:val="005B54CA"/>
    <w:rsid w:val="005B56F8"/>
    <w:rsid w:val="005B596A"/>
    <w:rsid w:val="005C1891"/>
    <w:rsid w:val="005C1AC7"/>
    <w:rsid w:val="005C1CA0"/>
    <w:rsid w:val="005C5F2D"/>
    <w:rsid w:val="005C7603"/>
    <w:rsid w:val="005C78E1"/>
    <w:rsid w:val="005D2753"/>
    <w:rsid w:val="005D2839"/>
    <w:rsid w:val="005D2D77"/>
    <w:rsid w:val="005D344F"/>
    <w:rsid w:val="005D3858"/>
    <w:rsid w:val="005D653D"/>
    <w:rsid w:val="005D78D8"/>
    <w:rsid w:val="005E0914"/>
    <w:rsid w:val="005E1B0E"/>
    <w:rsid w:val="005F0E83"/>
    <w:rsid w:val="005F26BE"/>
    <w:rsid w:val="005F3685"/>
    <w:rsid w:val="005F3688"/>
    <w:rsid w:val="005F3EF1"/>
    <w:rsid w:val="005F5389"/>
    <w:rsid w:val="00600A7E"/>
    <w:rsid w:val="00602639"/>
    <w:rsid w:val="006032B0"/>
    <w:rsid w:val="006039D8"/>
    <w:rsid w:val="00604F1C"/>
    <w:rsid w:val="0060697F"/>
    <w:rsid w:val="00606AAF"/>
    <w:rsid w:val="00611391"/>
    <w:rsid w:val="006171AE"/>
    <w:rsid w:val="00617613"/>
    <w:rsid w:val="00622FC9"/>
    <w:rsid w:val="00626EF3"/>
    <w:rsid w:val="00637F81"/>
    <w:rsid w:val="00650A8B"/>
    <w:rsid w:val="006547DA"/>
    <w:rsid w:val="006556D4"/>
    <w:rsid w:val="006561F9"/>
    <w:rsid w:val="00657C28"/>
    <w:rsid w:val="00661098"/>
    <w:rsid w:val="006635C0"/>
    <w:rsid w:val="006666D9"/>
    <w:rsid w:val="0067233F"/>
    <w:rsid w:val="006750EF"/>
    <w:rsid w:val="00675D1E"/>
    <w:rsid w:val="00687E5B"/>
    <w:rsid w:val="006A175B"/>
    <w:rsid w:val="006A43D7"/>
    <w:rsid w:val="006A46B4"/>
    <w:rsid w:val="006A5107"/>
    <w:rsid w:val="006A7C0D"/>
    <w:rsid w:val="006B5B3B"/>
    <w:rsid w:val="006C4952"/>
    <w:rsid w:val="006C5C19"/>
    <w:rsid w:val="006C780D"/>
    <w:rsid w:val="006D33E7"/>
    <w:rsid w:val="006D3C36"/>
    <w:rsid w:val="006D427B"/>
    <w:rsid w:val="006D588A"/>
    <w:rsid w:val="006D7B10"/>
    <w:rsid w:val="006E04ED"/>
    <w:rsid w:val="006E0BEC"/>
    <w:rsid w:val="006E0DF3"/>
    <w:rsid w:val="006E12D3"/>
    <w:rsid w:val="006E2537"/>
    <w:rsid w:val="006E28FB"/>
    <w:rsid w:val="006E297E"/>
    <w:rsid w:val="006E6FAA"/>
    <w:rsid w:val="006F2973"/>
    <w:rsid w:val="006F4986"/>
    <w:rsid w:val="006F7497"/>
    <w:rsid w:val="00703DE3"/>
    <w:rsid w:val="00703F6B"/>
    <w:rsid w:val="007060A7"/>
    <w:rsid w:val="007105F5"/>
    <w:rsid w:val="007223BD"/>
    <w:rsid w:val="007258E3"/>
    <w:rsid w:val="00726D4F"/>
    <w:rsid w:val="00727B68"/>
    <w:rsid w:val="00734D86"/>
    <w:rsid w:val="00735376"/>
    <w:rsid w:val="00735382"/>
    <w:rsid w:val="00742F5D"/>
    <w:rsid w:val="0074495C"/>
    <w:rsid w:val="00744CC1"/>
    <w:rsid w:val="00744E75"/>
    <w:rsid w:val="00747D68"/>
    <w:rsid w:val="0075506C"/>
    <w:rsid w:val="007550BE"/>
    <w:rsid w:val="00755B9C"/>
    <w:rsid w:val="00757CA7"/>
    <w:rsid w:val="0076558E"/>
    <w:rsid w:val="00766D16"/>
    <w:rsid w:val="007758AD"/>
    <w:rsid w:val="00781784"/>
    <w:rsid w:val="0078337E"/>
    <w:rsid w:val="00785BDD"/>
    <w:rsid w:val="00786084"/>
    <w:rsid w:val="007901E8"/>
    <w:rsid w:val="007946BF"/>
    <w:rsid w:val="00794D0D"/>
    <w:rsid w:val="007964E5"/>
    <w:rsid w:val="007A0D9E"/>
    <w:rsid w:val="007B5D97"/>
    <w:rsid w:val="007C0D96"/>
    <w:rsid w:val="007C2364"/>
    <w:rsid w:val="007C3F8E"/>
    <w:rsid w:val="007C6177"/>
    <w:rsid w:val="007C792E"/>
    <w:rsid w:val="007D1CDF"/>
    <w:rsid w:val="007D6E18"/>
    <w:rsid w:val="007D7309"/>
    <w:rsid w:val="007E0746"/>
    <w:rsid w:val="007E39E6"/>
    <w:rsid w:val="007E45B6"/>
    <w:rsid w:val="007E563D"/>
    <w:rsid w:val="007E6FA1"/>
    <w:rsid w:val="007F64D7"/>
    <w:rsid w:val="007F6E22"/>
    <w:rsid w:val="007F736B"/>
    <w:rsid w:val="00803503"/>
    <w:rsid w:val="00803D4E"/>
    <w:rsid w:val="00804137"/>
    <w:rsid w:val="008068C6"/>
    <w:rsid w:val="008107B6"/>
    <w:rsid w:val="0081252E"/>
    <w:rsid w:val="008129C6"/>
    <w:rsid w:val="0081613B"/>
    <w:rsid w:val="00816DEF"/>
    <w:rsid w:val="00821744"/>
    <w:rsid w:val="00825DC5"/>
    <w:rsid w:val="00831B37"/>
    <w:rsid w:val="00834BBF"/>
    <w:rsid w:val="00843B36"/>
    <w:rsid w:val="00844028"/>
    <w:rsid w:val="0085164E"/>
    <w:rsid w:val="00855429"/>
    <w:rsid w:val="008555B8"/>
    <w:rsid w:val="00860E0C"/>
    <w:rsid w:val="00860F34"/>
    <w:rsid w:val="00863D79"/>
    <w:rsid w:val="00864932"/>
    <w:rsid w:val="00867BBB"/>
    <w:rsid w:val="0087034B"/>
    <w:rsid w:val="008721D3"/>
    <w:rsid w:val="00881166"/>
    <w:rsid w:val="00882E5A"/>
    <w:rsid w:val="0088360A"/>
    <w:rsid w:val="00883F3B"/>
    <w:rsid w:val="00887E0C"/>
    <w:rsid w:val="00891D27"/>
    <w:rsid w:val="008924C4"/>
    <w:rsid w:val="00892E11"/>
    <w:rsid w:val="00893B8B"/>
    <w:rsid w:val="00893EB1"/>
    <w:rsid w:val="00896BD5"/>
    <w:rsid w:val="008A06C0"/>
    <w:rsid w:val="008A1F84"/>
    <w:rsid w:val="008B3C71"/>
    <w:rsid w:val="008B40F2"/>
    <w:rsid w:val="008B76A9"/>
    <w:rsid w:val="008B7767"/>
    <w:rsid w:val="008B7D9D"/>
    <w:rsid w:val="008C33D2"/>
    <w:rsid w:val="008C6C9C"/>
    <w:rsid w:val="008C7A97"/>
    <w:rsid w:val="008D1230"/>
    <w:rsid w:val="008D28F9"/>
    <w:rsid w:val="008D438C"/>
    <w:rsid w:val="008D7D63"/>
    <w:rsid w:val="008E184E"/>
    <w:rsid w:val="008E5F91"/>
    <w:rsid w:val="008F1381"/>
    <w:rsid w:val="008F2B1A"/>
    <w:rsid w:val="00900451"/>
    <w:rsid w:val="009028A3"/>
    <w:rsid w:val="00904A13"/>
    <w:rsid w:val="009123A6"/>
    <w:rsid w:val="00915B87"/>
    <w:rsid w:val="00920AD6"/>
    <w:rsid w:val="00934BCA"/>
    <w:rsid w:val="00934CBB"/>
    <w:rsid w:val="00935399"/>
    <w:rsid w:val="00936A76"/>
    <w:rsid w:val="009400AD"/>
    <w:rsid w:val="00945DC0"/>
    <w:rsid w:val="00952332"/>
    <w:rsid w:val="00952E05"/>
    <w:rsid w:val="00954A1C"/>
    <w:rsid w:val="009565E2"/>
    <w:rsid w:val="00956E1E"/>
    <w:rsid w:val="00957431"/>
    <w:rsid w:val="00957753"/>
    <w:rsid w:val="00961B94"/>
    <w:rsid w:val="00962AD9"/>
    <w:rsid w:val="009669F5"/>
    <w:rsid w:val="00970775"/>
    <w:rsid w:val="00973EFC"/>
    <w:rsid w:val="00977FBE"/>
    <w:rsid w:val="009804CE"/>
    <w:rsid w:val="009829C2"/>
    <w:rsid w:val="0098779A"/>
    <w:rsid w:val="00990647"/>
    <w:rsid w:val="00991A66"/>
    <w:rsid w:val="00992EB5"/>
    <w:rsid w:val="009A577B"/>
    <w:rsid w:val="009A6F85"/>
    <w:rsid w:val="009A7A18"/>
    <w:rsid w:val="009B007E"/>
    <w:rsid w:val="009C0872"/>
    <w:rsid w:val="009C1076"/>
    <w:rsid w:val="009C240E"/>
    <w:rsid w:val="009C2A68"/>
    <w:rsid w:val="009C4B0B"/>
    <w:rsid w:val="009C77C3"/>
    <w:rsid w:val="009C7E02"/>
    <w:rsid w:val="009D0F31"/>
    <w:rsid w:val="009D21AD"/>
    <w:rsid w:val="009D64FE"/>
    <w:rsid w:val="009D6B32"/>
    <w:rsid w:val="009E1238"/>
    <w:rsid w:val="009E305B"/>
    <w:rsid w:val="009E3255"/>
    <w:rsid w:val="009E4C17"/>
    <w:rsid w:val="009E6036"/>
    <w:rsid w:val="009E65F5"/>
    <w:rsid w:val="009E67C7"/>
    <w:rsid w:val="009E7008"/>
    <w:rsid w:val="009E77CA"/>
    <w:rsid w:val="009E7A2C"/>
    <w:rsid w:val="009F0C0C"/>
    <w:rsid w:val="00A01C9A"/>
    <w:rsid w:val="00A026F8"/>
    <w:rsid w:val="00A03D0A"/>
    <w:rsid w:val="00A12745"/>
    <w:rsid w:val="00A13413"/>
    <w:rsid w:val="00A15C21"/>
    <w:rsid w:val="00A17CFB"/>
    <w:rsid w:val="00A31088"/>
    <w:rsid w:val="00A316CC"/>
    <w:rsid w:val="00A31FAB"/>
    <w:rsid w:val="00A35E5C"/>
    <w:rsid w:val="00A43A44"/>
    <w:rsid w:val="00A466C0"/>
    <w:rsid w:val="00A476B1"/>
    <w:rsid w:val="00A511A2"/>
    <w:rsid w:val="00A53CBD"/>
    <w:rsid w:val="00A55858"/>
    <w:rsid w:val="00A659C7"/>
    <w:rsid w:val="00A66A9A"/>
    <w:rsid w:val="00A741AA"/>
    <w:rsid w:val="00A7523E"/>
    <w:rsid w:val="00A76B09"/>
    <w:rsid w:val="00A84C07"/>
    <w:rsid w:val="00A8778A"/>
    <w:rsid w:val="00A92AB3"/>
    <w:rsid w:val="00A95F75"/>
    <w:rsid w:val="00A974ED"/>
    <w:rsid w:val="00AA0824"/>
    <w:rsid w:val="00AA10E4"/>
    <w:rsid w:val="00AA31D3"/>
    <w:rsid w:val="00AA3962"/>
    <w:rsid w:val="00AA70A3"/>
    <w:rsid w:val="00AB1F57"/>
    <w:rsid w:val="00AB515D"/>
    <w:rsid w:val="00AB6C59"/>
    <w:rsid w:val="00AC1247"/>
    <w:rsid w:val="00AC3CAE"/>
    <w:rsid w:val="00AC6C13"/>
    <w:rsid w:val="00AD0ABE"/>
    <w:rsid w:val="00AD1B54"/>
    <w:rsid w:val="00AD48CF"/>
    <w:rsid w:val="00AD5CC4"/>
    <w:rsid w:val="00AE0CC5"/>
    <w:rsid w:val="00AE1824"/>
    <w:rsid w:val="00AE2802"/>
    <w:rsid w:val="00AE6EAF"/>
    <w:rsid w:val="00AF62C0"/>
    <w:rsid w:val="00AF647F"/>
    <w:rsid w:val="00AF73B7"/>
    <w:rsid w:val="00B017FB"/>
    <w:rsid w:val="00B01F0F"/>
    <w:rsid w:val="00B0305E"/>
    <w:rsid w:val="00B03D85"/>
    <w:rsid w:val="00B0564C"/>
    <w:rsid w:val="00B11CE1"/>
    <w:rsid w:val="00B21D6E"/>
    <w:rsid w:val="00B2589D"/>
    <w:rsid w:val="00B30126"/>
    <w:rsid w:val="00B3218A"/>
    <w:rsid w:val="00B32686"/>
    <w:rsid w:val="00B36CC1"/>
    <w:rsid w:val="00B3739B"/>
    <w:rsid w:val="00B479E4"/>
    <w:rsid w:val="00B47B7A"/>
    <w:rsid w:val="00B52370"/>
    <w:rsid w:val="00B5238A"/>
    <w:rsid w:val="00B53AD7"/>
    <w:rsid w:val="00B559E6"/>
    <w:rsid w:val="00B61086"/>
    <w:rsid w:val="00B6427C"/>
    <w:rsid w:val="00B67979"/>
    <w:rsid w:val="00B72AF1"/>
    <w:rsid w:val="00B73D29"/>
    <w:rsid w:val="00B74576"/>
    <w:rsid w:val="00B7719C"/>
    <w:rsid w:val="00B80148"/>
    <w:rsid w:val="00B84D73"/>
    <w:rsid w:val="00B85F9A"/>
    <w:rsid w:val="00B8655B"/>
    <w:rsid w:val="00B86D37"/>
    <w:rsid w:val="00B90CB3"/>
    <w:rsid w:val="00B9165A"/>
    <w:rsid w:val="00B93C6A"/>
    <w:rsid w:val="00BA2B4A"/>
    <w:rsid w:val="00BA54E7"/>
    <w:rsid w:val="00BB0790"/>
    <w:rsid w:val="00BB1725"/>
    <w:rsid w:val="00BB402A"/>
    <w:rsid w:val="00BB50C0"/>
    <w:rsid w:val="00BB7B1C"/>
    <w:rsid w:val="00BD0EAB"/>
    <w:rsid w:val="00BD1818"/>
    <w:rsid w:val="00BD41D9"/>
    <w:rsid w:val="00BE3585"/>
    <w:rsid w:val="00BE7074"/>
    <w:rsid w:val="00BE7A9A"/>
    <w:rsid w:val="00BF056F"/>
    <w:rsid w:val="00BF2B91"/>
    <w:rsid w:val="00BF594F"/>
    <w:rsid w:val="00BF5AA4"/>
    <w:rsid w:val="00BF6636"/>
    <w:rsid w:val="00C02873"/>
    <w:rsid w:val="00C10E13"/>
    <w:rsid w:val="00C225E9"/>
    <w:rsid w:val="00C2276B"/>
    <w:rsid w:val="00C236FF"/>
    <w:rsid w:val="00C25BC7"/>
    <w:rsid w:val="00C2643C"/>
    <w:rsid w:val="00C26FBF"/>
    <w:rsid w:val="00C279B2"/>
    <w:rsid w:val="00C30C61"/>
    <w:rsid w:val="00C3271D"/>
    <w:rsid w:val="00C327E3"/>
    <w:rsid w:val="00C32F0D"/>
    <w:rsid w:val="00C3321E"/>
    <w:rsid w:val="00C35ECB"/>
    <w:rsid w:val="00C370FD"/>
    <w:rsid w:val="00C41DC7"/>
    <w:rsid w:val="00C4263D"/>
    <w:rsid w:val="00C454EE"/>
    <w:rsid w:val="00C4574E"/>
    <w:rsid w:val="00C45ACA"/>
    <w:rsid w:val="00C461CC"/>
    <w:rsid w:val="00C47483"/>
    <w:rsid w:val="00C5393D"/>
    <w:rsid w:val="00C54FFC"/>
    <w:rsid w:val="00C5503E"/>
    <w:rsid w:val="00C55F18"/>
    <w:rsid w:val="00C56D62"/>
    <w:rsid w:val="00C60442"/>
    <w:rsid w:val="00C63411"/>
    <w:rsid w:val="00C657D4"/>
    <w:rsid w:val="00C67791"/>
    <w:rsid w:val="00C67D4E"/>
    <w:rsid w:val="00C728B2"/>
    <w:rsid w:val="00C735F5"/>
    <w:rsid w:val="00C74065"/>
    <w:rsid w:val="00C74F12"/>
    <w:rsid w:val="00C7567C"/>
    <w:rsid w:val="00C756CF"/>
    <w:rsid w:val="00C758C2"/>
    <w:rsid w:val="00C761E2"/>
    <w:rsid w:val="00C807C8"/>
    <w:rsid w:val="00C80FD5"/>
    <w:rsid w:val="00C9327D"/>
    <w:rsid w:val="00C932E7"/>
    <w:rsid w:val="00C937E5"/>
    <w:rsid w:val="00C95D6C"/>
    <w:rsid w:val="00C9733C"/>
    <w:rsid w:val="00CA129C"/>
    <w:rsid w:val="00CA4CAF"/>
    <w:rsid w:val="00CA59E0"/>
    <w:rsid w:val="00CB0F50"/>
    <w:rsid w:val="00CB2B5D"/>
    <w:rsid w:val="00CB4905"/>
    <w:rsid w:val="00CB6EEF"/>
    <w:rsid w:val="00CC06C6"/>
    <w:rsid w:val="00CD0154"/>
    <w:rsid w:val="00CD03AD"/>
    <w:rsid w:val="00CD20A6"/>
    <w:rsid w:val="00CD349F"/>
    <w:rsid w:val="00CE1B53"/>
    <w:rsid w:val="00CE3F52"/>
    <w:rsid w:val="00CE4B36"/>
    <w:rsid w:val="00CF231E"/>
    <w:rsid w:val="00CF4E51"/>
    <w:rsid w:val="00CF58BC"/>
    <w:rsid w:val="00CF698A"/>
    <w:rsid w:val="00CF7BA3"/>
    <w:rsid w:val="00D014D7"/>
    <w:rsid w:val="00D02208"/>
    <w:rsid w:val="00D02F6F"/>
    <w:rsid w:val="00D03198"/>
    <w:rsid w:val="00D13A8D"/>
    <w:rsid w:val="00D1735D"/>
    <w:rsid w:val="00D23E53"/>
    <w:rsid w:val="00D249C8"/>
    <w:rsid w:val="00D24B39"/>
    <w:rsid w:val="00D3078B"/>
    <w:rsid w:val="00D36DA3"/>
    <w:rsid w:val="00D406CE"/>
    <w:rsid w:val="00D43089"/>
    <w:rsid w:val="00D45596"/>
    <w:rsid w:val="00D45845"/>
    <w:rsid w:val="00D4689E"/>
    <w:rsid w:val="00D476FD"/>
    <w:rsid w:val="00D5079C"/>
    <w:rsid w:val="00D54EDE"/>
    <w:rsid w:val="00D618A0"/>
    <w:rsid w:val="00D70AF2"/>
    <w:rsid w:val="00D756D1"/>
    <w:rsid w:val="00D80382"/>
    <w:rsid w:val="00D8079E"/>
    <w:rsid w:val="00D836CD"/>
    <w:rsid w:val="00D84A22"/>
    <w:rsid w:val="00D866D6"/>
    <w:rsid w:val="00D95139"/>
    <w:rsid w:val="00D971A8"/>
    <w:rsid w:val="00DA508C"/>
    <w:rsid w:val="00DA57DA"/>
    <w:rsid w:val="00DA7639"/>
    <w:rsid w:val="00DB52EC"/>
    <w:rsid w:val="00DB5856"/>
    <w:rsid w:val="00DB65C6"/>
    <w:rsid w:val="00DC0FAA"/>
    <w:rsid w:val="00DC26D3"/>
    <w:rsid w:val="00DC3322"/>
    <w:rsid w:val="00DC6BB0"/>
    <w:rsid w:val="00DD2C5A"/>
    <w:rsid w:val="00DD724A"/>
    <w:rsid w:val="00DE4A31"/>
    <w:rsid w:val="00E01F9E"/>
    <w:rsid w:val="00E04E50"/>
    <w:rsid w:val="00E0519B"/>
    <w:rsid w:val="00E14033"/>
    <w:rsid w:val="00E15BE5"/>
    <w:rsid w:val="00E20874"/>
    <w:rsid w:val="00E23AE1"/>
    <w:rsid w:val="00E2504C"/>
    <w:rsid w:val="00E30674"/>
    <w:rsid w:val="00E31487"/>
    <w:rsid w:val="00E33AE2"/>
    <w:rsid w:val="00E34C58"/>
    <w:rsid w:val="00E41EC7"/>
    <w:rsid w:val="00E45747"/>
    <w:rsid w:val="00E50DF6"/>
    <w:rsid w:val="00E51567"/>
    <w:rsid w:val="00E5528E"/>
    <w:rsid w:val="00E62F78"/>
    <w:rsid w:val="00E70D20"/>
    <w:rsid w:val="00E73F31"/>
    <w:rsid w:val="00E76056"/>
    <w:rsid w:val="00E77A37"/>
    <w:rsid w:val="00E83829"/>
    <w:rsid w:val="00E83C00"/>
    <w:rsid w:val="00E840D2"/>
    <w:rsid w:val="00E86DA7"/>
    <w:rsid w:val="00E90582"/>
    <w:rsid w:val="00E953F3"/>
    <w:rsid w:val="00E956BC"/>
    <w:rsid w:val="00E96720"/>
    <w:rsid w:val="00EA0BF5"/>
    <w:rsid w:val="00EA0F72"/>
    <w:rsid w:val="00EA16EA"/>
    <w:rsid w:val="00EA230D"/>
    <w:rsid w:val="00EA2808"/>
    <w:rsid w:val="00EA4DC0"/>
    <w:rsid w:val="00EB3B06"/>
    <w:rsid w:val="00EB66BC"/>
    <w:rsid w:val="00EC37D2"/>
    <w:rsid w:val="00EC3D15"/>
    <w:rsid w:val="00EC6B37"/>
    <w:rsid w:val="00EC74D7"/>
    <w:rsid w:val="00ED02C7"/>
    <w:rsid w:val="00ED0C06"/>
    <w:rsid w:val="00ED2169"/>
    <w:rsid w:val="00ED5AF7"/>
    <w:rsid w:val="00EE1544"/>
    <w:rsid w:val="00EE25EB"/>
    <w:rsid w:val="00EE3306"/>
    <w:rsid w:val="00EF0CDF"/>
    <w:rsid w:val="00EF5206"/>
    <w:rsid w:val="00EF7266"/>
    <w:rsid w:val="00F05D44"/>
    <w:rsid w:val="00F07C39"/>
    <w:rsid w:val="00F11A52"/>
    <w:rsid w:val="00F11AAF"/>
    <w:rsid w:val="00F1280F"/>
    <w:rsid w:val="00F16A45"/>
    <w:rsid w:val="00F205CC"/>
    <w:rsid w:val="00F22836"/>
    <w:rsid w:val="00F23768"/>
    <w:rsid w:val="00F25753"/>
    <w:rsid w:val="00F308B2"/>
    <w:rsid w:val="00F32457"/>
    <w:rsid w:val="00F32AD7"/>
    <w:rsid w:val="00F330DE"/>
    <w:rsid w:val="00F341AB"/>
    <w:rsid w:val="00F4748F"/>
    <w:rsid w:val="00F501F9"/>
    <w:rsid w:val="00F51C46"/>
    <w:rsid w:val="00F553D1"/>
    <w:rsid w:val="00F5560C"/>
    <w:rsid w:val="00F6194F"/>
    <w:rsid w:val="00F66B96"/>
    <w:rsid w:val="00F67D28"/>
    <w:rsid w:val="00F67E1D"/>
    <w:rsid w:val="00F752B3"/>
    <w:rsid w:val="00F84849"/>
    <w:rsid w:val="00F84B0B"/>
    <w:rsid w:val="00F84F91"/>
    <w:rsid w:val="00F85708"/>
    <w:rsid w:val="00F96144"/>
    <w:rsid w:val="00FA3BDF"/>
    <w:rsid w:val="00FA55C4"/>
    <w:rsid w:val="00FA691B"/>
    <w:rsid w:val="00FA7530"/>
    <w:rsid w:val="00FB26EF"/>
    <w:rsid w:val="00FB4496"/>
    <w:rsid w:val="00FB53EA"/>
    <w:rsid w:val="00FB62E5"/>
    <w:rsid w:val="00FB74BE"/>
    <w:rsid w:val="00FC62EA"/>
    <w:rsid w:val="00FD39F1"/>
    <w:rsid w:val="00FE0D8A"/>
    <w:rsid w:val="00FE2B76"/>
    <w:rsid w:val="00FE4558"/>
    <w:rsid w:val="00FE56B0"/>
    <w:rsid w:val="00FE62EF"/>
    <w:rsid w:val="00FF0AE4"/>
    <w:rsid w:val="00FF145C"/>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9EABD"/>
  <w15:chartTrackingRefBased/>
  <w15:docId w15:val="{6A17AB67-E0F5-422E-85A8-58D6A524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right"/>
      <w:outlineLvl w:val="1"/>
    </w:pPr>
    <w:rPr>
      <w:b/>
      <w:sz w:val="24"/>
    </w:rPr>
  </w:style>
  <w:style w:type="paragraph" w:styleId="Heading3">
    <w:name w:val="heading 3"/>
    <w:basedOn w:val="Normal"/>
    <w:next w:val="Normal"/>
    <w:qFormat/>
    <w:pPr>
      <w:keepNext/>
      <w:spacing w:line="360" w:lineRule="auto"/>
      <w:outlineLvl w:val="2"/>
    </w:pPr>
    <w:rPr>
      <w:b/>
      <w:sz w:val="24"/>
      <w:u w:val="single"/>
    </w:rPr>
  </w:style>
  <w:style w:type="paragraph" w:styleId="Heading4">
    <w:name w:val="heading 4"/>
    <w:basedOn w:val="Normal"/>
    <w:next w:val="Normal"/>
    <w:qFormat/>
    <w:pPr>
      <w:keepNext/>
      <w:spacing w:line="360" w:lineRule="auto"/>
      <w:jc w:val="right"/>
      <w:outlineLvl w:val="3"/>
    </w:pPr>
    <w:rPr>
      <w:sz w:val="24"/>
    </w:rPr>
  </w:style>
  <w:style w:type="paragraph" w:styleId="Heading5">
    <w:name w:val="heading 5"/>
    <w:basedOn w:val="Normal"/>
    <w:next w:val="Normal"/>
    <w:qFormat/>
    <w:pPr>
      <w:keepNext/>
      <w:outlineLvl w:val="4"/>
    </w:pPr>
    <w:rPr>
      <w:i/>
      <w:sz w:val="1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spacing w:line="360" w:lineRule="auto"/>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link w:val="FootnoteTextChar"/>
    <w:uiPriority w:val="99"/>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lang w:val="en-US"/>
    </w:rPr>
  </w:style>
  <w:style w:type="character" w:styleId="Strong">
    <w:name w:val="Strong"/>
    <w:qFormat/>
    <w:rPr>
      <w:b/>
      <w:bCs/>
    </w:rPr>
  </w:style>
  <w:style w:type="paragraph" w:customStyle="1" w:styleId="Textbubliny1">
    <w:name w:val="Text bubliny1"/>
    <w:basedOn w:val="Normal"/>
    <w:semiHidden/>
    <w:rPr>
      <w:rFonts w:ascii="Tahoma" w:hAnsi="Tahoma" w:cs="Tahoma"/>
      <w:sz w:val="16"/>
      <w:szCs w:val="16"/>
    </w:rPr>
  </w:style>
  <w:style w:type="paragraph" w:customStyle="1" w:styleId="TEXT">
    <w:name w:val="TEXT"/>
    <w:basedOn w:val="Normal"/>
    <w:pPr>
      <w:spacing w:after="60" w:line="360" w:lineRule="auto"/>
      <w:jc w:val="both"/>
    </w:pPr>
    <w:rPr>
      <w:sz w:val="24"/>
      <w:szCs w:val="24"/>
    </w:rPr>
  </w:style>
  <w:style w:type="character" w:customStyle="1" w:styleId="TEXTChar">
    <w:name w:val="TEXT Char"/>
    <w:rPr>
      <w:sz w:val="24"/>
      <w:szCs w:val="24"/>
      <w:lang w:val="cs-CZ" w:eastAsia="en-US" w:bidi="ar-SA"/>
    </w:rPr>
  </w:style>
  <w:style w:type="character" w:customStyle="1" w:styleId="CharChar">
    <w:name w:val="Char Char"/>
    <w:rPr>
      <w:lang w:val="en-GB" w:eastAsia="en-US" w:bidi="ar-SA"/>
    </w:rPr>
  </w:style>
  <w:style w:type="character" w:styleId="CommentReference">
    <w:name w:val="annotation reference"/>
    <w:semiHidden/>
    <w:rPr>
      <w:sz w:val="16"/>
      <w:szCs w:val="16"/>
    </w:rPr>
  </w:style>
  <w:style w:type="paragraph" w:customStyle="1" w:styleId="Pedmtkomente1">
    <w:name w:val="Předmět komentáře1"/>
    <w:basedOn w:val="CommentText"/>
    <w:next w:val="CommentText"/>
    <w:semiHidden/>
    <w:rPr>
      <w:b/>
      <w:bCs/>
    </w:rPr>
  </w:style>
  <w:style w:type="paragraph" w:customStyle="1" w:styleId="Textbubliny3">
    <w:name w:val="Text bubliny3"/>
    <w:basedOn w:val="Normal"/>
    <w:semiHidden/>
    <w:rPr>
      <w:rFonts w:ascii="Tahoma" w:hAnsi="Tahoma" w:cs="Tahoma"/>
      <w:sz w:val="16"/>
      <w:szCs w:val="16"/>
    </w:rPr>
  </w:style>
  <w:style w:type="paragraph" w:customStyle="1" w:styleId="Pedmtkomente3">
    <w:name w:val="Předmět komentáře3"/>
    <w:basedOn w:val="CommentText"/>
    <w:next w:val="CommentText"/>
    <w:rPr>
      <w:b/>
      <w:bCs/>
    </w:rPr>
  </w:style>
  <w:style w:type="character" w:customStyle="1" w:styleId="CharChar1">
    <w:name w:val="Char Char1"/>
    <w:semiHidden/>
    <w:rPr>
      <w:lang w:val="en-GB" w:eastAsia="en-US"/>
    </w:rPr>
  </w:style>
  <w:style w:type="character" w:customStyle="1" w:styleId="PedmtkomenteChar">
    <w:name w:val="Předmět komentáře Char"/>
    <w:rPr>
      <w:lang w:val="en-GB" w:eastAsia="en-US"/>
    </w:rPr>
  </w:style>
  <w:style w:type="paragraph" w:customStyle="1" w:styleId="Textbubliny2">
    <w:name w:val="Text bubliny2"/>
    <w:basedOn w:val="Normal"/>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val="en-GB" w:eastAsia="en-US"/>
    </w:rPr>
  </w:style>
  <w:style w:type="paragraph" w:customStyle="1" w:styleId="Pedmtkomente2">
    <w:name w:val="Předmět komentáře2"/>
    <w:basedOn w:val="CommentText"/>
    <w:next w:val="CommentText"/>
    <w:semiHidden/>
    <w:unhideWhenUsed/>
    <w:rPr>
      <w:b/>
      <w:bCs/>
    </w:rPr>
  </w:style>
  <w:style w:type="character" w:customStyle="1" w:styleId="TextkomenteChar">
    <w:name w:val="Text komentáře Char"/>
    <w:semiHidden/>
    <w:rPr>
      <w:lang w:val="en-GB" w:eastAsia="en-US"/>
    </w:rPr>
  </w:style>
  <w:style w:type="character" w:customStyle="1" w:styleId="PedmtkomenteChar1">
    <w:name w:val="Předmět komentáře Char1"/>
    <w:rPr>
      <w:lang w:val="en-GB" w:eastAsia="en-US"/>
    </w:rPr>
  </w:style>
  <w:style w:type="paragraph" w:customStyle="1" w:styleId="Standardntext">
    <w:name w:val="Standardní text"/>
    <w:basedOn w:val="Normal"/>
    <w:pPr>
      <w:jc w:val="both"/>
    </w:pPr>
    <w:rPr>
      <w:noProof/>
      <w:sz w:val="24"/>
      <w:lang w:eastAsia="cs-CZ"/>
    </w:rPr>
  </w:style>
  <w:style w:type="paragraph" w:styleId="BalloonText">
    <w:name w:val="Balloon Text"/>
    <w:basedOn w:val="Normal"/>
    <w:semiHidden/>
    <w:rsid w:val="00977FBE"/>
    <w:rPr>
      <w:rFonts w:ascii="Tahoma" w:hAnsi="Tahoma" w:cs="Tahoma"/>
      <w:sz w:val="16"/>
      <w:szCs w:val="16"/>
    </w:rPr>
  </w:style>
  <w:style w:type="character" w:styleId="FootnoteReference">
    <w:name w:val="footnote reference"/>
    <w:aliases w:val="ftref,BVI fnr,Footnotes refss"/>
    <w:uiPriority w:val="99"/>
    <w:rsid w:val="00FC62EA"/>
    <w:rPr>
      <w:vertAlign w:val="superscript"/>
    </w:rPr>
  </w:style>
  <w:style w:type="character" w:customStyle="1" w:styleId="FootnoteTextChar">
    <w:name w:val="Footnote Text Char"/>
    <w:link w:val="FootnoteText"/>
    <w:uiPriority w:val="99"/>
    <w:semiHidden/>
    <w:rsid w:val="00FC62EA"/>
    <w:rPr>
      <w:lang w:val="en-GB" w:eastAsia="en-US"/>
    </w:rPr>
  </w:style>
  <w:style w:type="character" w:customStyle="1" w:styleId="longtext1">
    <w:name w:val="long_text1"/>
    <w:rsid w:val="00A511A2"/>
    <w:rPr>
      <w:sz w:val="20"/>
      <w:szCs w:val="20"/>
    </w:rPr>
  </w:style>
  <w:style w:type="paragraph" w:styleId="CommentSubject">
    <w:name w:val="annotation subject"/>
    <w:basedOn w:val="CommentText"/>
    <w:next w:val="CommentText"/>
    <w:semiHidden/>
    <w:rsid w:val="007550BE"/>
    <w:rPr>
      <w:b/>
      <w:bCs/>
    </w:rPr>
  </w:style>
  <w:style w:type="paragraph" w:customStyle="1" w:styleId="2ndpage">
    <w:name w:val="2nd page"/>
    <w:aliases w:val="contact"/>
    <w:basedOn w:val="Normal"/>
    <w:rsid w:val="00E34C58"/>
    <w:pPr>
      <w:spacing w:after="40"/>
      <w:jc w:val="both"/>
    </w:pPr>
    <w:rPr>
      <w:rFonts w:ascii="Univers LT Std 45 Light" w:eastAsia="Batang" w:hAnsi="Univers LT Std 45 Light"/>
      <w:sz w:val="18"/>
      <w:szCs w:val="24"/>
      <w:lang w:val="en-US" w:eastAsia="ko-KR"/>
    </w:rPr>
  </w:style>
  <w:style w:type="character" w:customStyle="1" w:styleId="nowrap">
    <w:name w:val="nowrap"/>
    <w:rsid w:val="005C7603"/>
  </w:style>
  <w:style w:type="paragraph" w:customStyle="1" w:styleId="Revision1">
    <w:name w:val="Revision1"/>
    <w:hidden/>
    <w:uiPriority w:val="99"/>
    <w:semiHidden/>
    <w:rsid w:val="005C7603"/>
    <w:rPr>
      <w:lang w:val="en-GB" w:eastAsia="en-US"/>
    </w:rPr>
  </w:style>
  <w:style w:type="character" w:customStyle="1" w:styleId="st">
    <w:name w:val="st"/>
    <w:basedOn w:val="DefaultParagraphFont"/>
    <w:rsid w:val="00F25753"/>
  </w:style>
  <w:style w:type="character" w:customStyle="1" w:styleId="hps">
    <w:name w:val="hps"/>
    <w:basedOn w:val="DefaultParagraphFont"/>
    <w:rsid w:val="002142A6"/>
  </w:style>
  <w:style w:type="character" w:styleId="Emphasis">
    <w:name w:val="Emphasis"/>
    <w:qFormat/>
    <w:rsid w:val="002142A6"/>
    <w:rPr>
      <w:i/>
      <w:iCs/>
    </w:rPr>
  </w:style>
  <w:style w:type="paragraph" w:customStyle="1" w:styleId="ListParagraph1">
    <w:name w:val="List Paragraph1"/>
    <w:basedOn w:val="Normal"/>
    <w:uiPriority w:val="99"/>
    <w:qFormat/>
    <w:rsid w:val="00A84C07"/>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305348"/>
  </w:style>
  <w:style w:type="paragraph" w:customStyle="1" w:styleId="BodyText1">
    <w:name w:val="Body Text1"/>
    <w:basedOn w:val="BodyText"/>
    <w:rsid w:val="009829C2"/>
    <w:rPr>
      <w:rFonts w:ascii="Arial" w:hAnsi="Arial"/>
      <w:b w:val="0"/>
      <w:sz w:val="20"/>
      <w:lang w:val="en-GB" w:eastAsia="en-GB"/>
    </w:rPr>
  </w:style>
  <w:style w:type="character" w:customStyle="1" w:styleId="StyleArial9pt">
    <w:name w:val="Style Arial 9 pt"/>
    <w:rsid w:val="009829C2"/>
    <w:rPr>
      <w:rFonts w:ascii="Arial" w:hAnsi="Arial"/>
      <w:i/>
      <w:sz w:val="18"/>
    </w:rPr>
  </w:style>
  <w:style w:type="paragraph" w:customStyle="1" w:styleId="Headingbold10pt">
    <w:name w:val="Heading bold 10pt"/>
    <w:basedOn w:val="Normal"/>
    <w:qFormat/>
    <w:rsid w:val="009829C2"/>
    <w:rPr>
      <w:rFonts w:ascii="Arial" w:hAnsi="Arial"/>
      <w:b/>
      <w:szCs w:val="24"/>
      <w:lang w:val="en-US"/>
    </w:rPr>
  </w:style>
  <w:style w:type="paragraph" w:customStyle="1" w:styleId="Headingbold9pt">
    <w:name w:val="Heading bold 9pt"/>
    <w:basedOn w:val="Headingbold10pt"/>
    <w:qFormat/>
    <w:rsid w:val="009829C2"/>
    <w:rPr>
      <w:sz w:val="18"/>
    </w:rPr>
  </w:style>
  <w:style w:type="paragraph" w:customStyle="1" w:styleId="Bodytext9pt">
    <w:name w:val="Body text 9pt"/>
    <w:basedOn w:val="Normal"/>
    <w:qFormat/>
    <w:rsid w:val="009829C2"/>
    <w:rPr>
      <w:rFonts w:ascii="Arial" w:hAnsi="Arial"/>
      <w:sz w:val="18"/>
      <w:szCs w:val="18"/>
      <w:lang w:val="en-GB" w:eastAsia="en-GB"/>
    </w:rPr>
  </w:style>
  <w:style w:type="paragraph" w:customStyle="1" w:styleId="ColorfulList-Accent11">
    <w:name w:val="Colorful List - Accent 11"/>
    <w:basedOn w:val="Normal"/>
    <w:uiPriority w:val="34"/>
    <w:qFormat/>
    <w:rsid w:val="009829C2"/>
    <w:pPr>
      <w:ind w:left="720"/>
      <w:contextualSpacing/>
    </w:pPr>
    <w:rPr>
      <w:rFonts w:ascii="Univers Next for HSBC Light" w:hAnsi="Univers Next for HSBC Light"/>
      <w:sz w:val="24"/>
      <w:szCs w:val="24"/>
      <w:lang w:val="en-US"/>
    </w:rPr>
  </w:style>
  <w:style w:type="paragraph" w:customStyle="1" w:styleId="m273465258685640320msolistparagraph">
    <w:name w:val="m_273465258685640320msolistparagraph"/>
    <w:basedOn w:val="Normal"/>
    <w:rsid w:val="00B85F9A"/>
    <w:pPr>
      <w:spacing w:before="100" w:beforeAutospacing="1" w:after="100" w:afterAutospacing="1"/>
    </w:pPr>
    <w:rPr>
      <w:sz w:val="24"/>
      <w:szCs w:val="24"/>
      <w:lang w:eastAsia="en-GB"/>
    </w:rPr>
  </w:style>
  <w:style w:type="character" w:customStyle="1" w:styleId="FooterChar">
    <w:name w:val="Footer Char"/>
    <w:link w:val="Footer"/>
    <w:rsid w:val="006556D4"/>
    <w:rPr>
      <w:lang w:val="cs-CZ"/>
    </w:rPr>
  </w:style>
  <w:style w:type="paragraph" w:styleId="Revision">
    <w:name w:val="Revision"/>
    <w:hidden/>
    <w:uiPriority w:val="99"/>
    <w:semiHidden/>
    <w:rsid w:val="00466421"/>
    <w:rPr>
      <w:lang w:eastAsia="en-US"/>
    </w:rPr>
  </w:style>
  <w:style w:type="character" w:customStyle="1" w:styleId="UnresolvedMention1">
    <w:name w:val="Unresolved Mention1"/>
    <w:uiPriority w:val="99"/>
    <w:semiHidden/>
    <w:unhideWhenUsed/>
    <w:rsid w:val="00F07C39"/>
    <w:rPr>
      <w:color w:val="605E5C"/>
      <w:shd w:val="clear" w:color="auto" w:fill="E1DFDD"/>
    </w:rPr>
  </w:style>
  <w:style w:type="table" w:styleId="TableGrid">
    <w:name w:val="Table Grid"/>
    <w:basedOn w:val="TableNormal"/>
    <w:rsid w:val="0045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DC0"/>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E6036"/>
    <w:pPr>
      <w:autoSpaceDE w:val="0"/>
      <w:autoSpaceDN w:val="0"/>
      <w:adjustRightInd w:val="0"/>
    </w:pPr>
    <w:rPr>
      <w:rFonts w:ascii="Arial" w:eastAsiaTheme="minorHAnsi" w:hAnsi="Arial" w:cs="Arial"/>
      <w:color w:val="000000"/>
      <w:sz w:val="24"/>
      <w:szCs w:val="24"/>
      <w:lang w:val="en-GB" w:eastAsia="en-US"/>
    </w:rPr>
  </w:style>
  <w:style w:type="character" w:styleId="UnresolvedMention">
    <w:name w:val="Unresolved Mention"/>
    <w:basedOn w:val="DefaultParagraphFont"/>
    <w:uiPriority w:val="99"/>
    <w:semiHidden/>
    <w:unhideWhenUsed/>
    <w:rsid w:val="003F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061">
      <w:bodyDiv w:val="1"/>
      <w:marLeft w:val="0"/>
      <w:marRight w:val="0"/>
      <w:marTop w:val="0"/>
      <w:marBottom w:val="0"/>
      <w:divBdr>
        <w:top w:val="none" w:sz="0" w:space="0" w:color="auto"/>
        <w:left w:val="none" w:sz="0" w:space="0" w:color="auto"/>
        <w:bottom w:val="none" w:sz="0" w:space="0" w:color="auto"/>
        <w:right w:val="none" w:sz="0" w:space="0" w:color="auto"/>
      </w:divBdr>
    </w:div>
    <w:div w:id="276329514">
      <w:bodyDiv w:val="1"/>
      <w:marLeft w:val="0"/>
      <w:marRight w:val="0"/>
      <w:marTop w:val="0"/>
      <w:marBottom w:val="0"/>
      <w:divBdr>
        <w:top w:val="none" w:sz="0" w:space="0" w:color="auto"/>
        <w:left w:val="none" w:sz="0" w:space="0" w:color="auto"/>
        <w:bottom w:val="none" w:sz="0" w:space="0" w:color="auto"/>
        <w:right w:val="none" w:sz="0" w:space="0" w:color="auto"/>
      </w:divBdr>
    </w:div>
    <w:div w:id="300352439">
      <w:bodyDiv w:val="1"/>
      <w:marLeft w:val="0"/>
      <w:marRight w:val="0"/>
      <w:marTop w:val="0"/>
      <w:marBottom w:val="0"/>
      <w:divBdr>
        <w:top w:val="none" w:sz="0" w:space="0" w:color="auto"/>
        <w:left w:val="none" w:sz="0" w:space="0" w:color="auto"/>
        <w:bottom w:val="none" w:sz="0" w:space="0" w:color="auto"/>
        <w:right w:val="none" w:sz="0" w:space="0" w:color="auto"/>
      </w:divBdr>
    </w:div>
    <w:div w:id="302274587">
      <w:bodyDiv w:val="1"/>
      <w:marLeft w:val="0"/>
      <w:marRight w:val="0"/>
      <w:marTop w:val="0"/>
      <w:marBottom w:val="0"/>
      <w:divBdr>
        <w:top w:val="none" w:sz="0" w:space="0" w:color="auto"/>
        <w:left w:val="none" w:sz="0" w:space="0" w:color="auto"/>
        <w:bottom w:val="none" w:sz="0" w:space="0" w:color="auto"/>
        <w:right w:val="none" w:sz="0" w:space="0" w:color="auto"/>
      </w:divBdr>
    </w:div>
    <w:div w:id="762266945">
      <w:bodyDiv w:val="1"/>
      <w:marLeft w:val="0"/>
      <w:marRight w:val="0"/>
      <w:marTop w:val="0"/>
      <w:marBottom w:val="0"/>
      <w:divBdr>
        <w:top w:val="none" w:sz="0" w:space="0" w:color="auto"/>
        <w:left w:val="none" w:sz="0" w:space="0" w:color="auto"/>
        <w:bottom w:val="none" w:sz="0" w:space="0" w:color="auto"/>
        <w:right w:val="none" w:sz="0" w:space="0" w:color="auto"/>
      </w:divBdr>
    </w:div>
    <w:div w:id="805858977">
      <w:bodyDiv w:val="1"/>
      <w:marLeft w:val="0"/>
      <w:marRight w:val="0"/>
      <w:marTop w:val="0"/>
      <w:marBottom w:val="0"/>
      <w:divBdr>
        <w:top w:val="none" w:sz="0" w:space="0" w:color="auto"/>
        <w:left w:val="none" w:sz="0" w:space="0" w:color="auto"/>
        <w:bottom w:val="none" w:sz="0" w:space="0" w:color="auto"/>
        <w:right w:val="none" w:sz="0" w:space="0" w:color="auto"/>
      </w:divBdr>
    </w:div>
    <w:div w:id="962157210">
      <w:bodyDiv w:val="1"/>
      <w:marLeft w:val="0"/>
      <w:marRight w:val="0"/>
      <w:marTop w:val="0"/>
      <w:marBottom w:val="0"/>
      <w:divBdr>
        <w:top w:val="none" w:sz="0" w:space="0" w:color="auto"/>
        <w:left w:val="none" w:sz="0" w:space="0" w:color="auto"/>
        <w:bottom w:val="none" w:sz="0" w:space="0" w:color="auto"/>
        <w:right w:val="none" w:sz="0" w:space="0" w:color="auto"/>
      </w:divBdr>
    </w:div>
    <w:div w:id="1063135844">
      <w:bodyDiv w:val="1"/>
      <w:marLeft w:val="0"/>
      <w:marRight w:val="0"/>
      <w:marTop w:val="0"/>
      <w:marBottom w:val="0"/>
      <w:divBdr>
        <w:top w:val="none" w:sz="0" w:space="0" w:color="auto"/>
        <w:left w:val="none" w:sz="0" w:space="0" w:color="auto"/>
        <w:bottom w:val="none" w:sz="0" w:space="0" w:color="auto"/>
        <w:right w:val="none" w:sz="0" w:space="0" w:color="auto"/>
      </w:divBdr>
    </w:div>
    <w:div w:id="1250578185">
      <w:bodyDiv w:val="1"/>
      <w:marLeft w:val="0"/>
      <w:marRight w:val="0"/>
      <w:marTop w:val="0"/>
      <w:marBottom w:val="0"/>
      <w:divBdr>
        <w:top w:val="none" w:sz="0" w:space="0" w:color="auto"/>
        <w:left w:val="none" w:sz="0" w:space="0" w:color="auto"/>
        <w:bottom w:val="none" w:sz="0" w:space="0" w:color="auto"/>
        <w:right w:val="none" w:sz="0" w:space="0" w:color="auto"/>
      </w:divBdr>
    </w:div>
    <w:div w:id="1309944271">
      <w:bodyDiv w:val="1"/>
      <w:marLeft w:val="0"/>
      <w:marRight w:val="0"/>
      <w:marTop w:val="0"/>
      <w:marBottom w:val="0"/>
      <w:divBdr>
        <w:top w:val="none" w:sz="0" w:space="0" w:color="auto"/>
        <w:left w:val="none" w:sz="0" w:space="0" w:color="auto"/>
        <w:bottom w:val="none" w:sz="0" w:space="0" w:color="auto"/>
        <w:right w:val="none" w:sz="0" w:space="0" w:color="auto"/>
      </w:divBdr>
      <w:divsChild>
        <w:div w:id="1400785860">
          <w:marLeft w:val="0"/>
          <w:marRight w:val="0"/>
          <w:marTop w:val="0"/>
          <w:marBottom w:val="0"/>
          <w:divBdr>
            <w:top w:val="none" w:sz="0" w:space="0" w:color="auto"/>
            <w:left w:val="none" w:sz="0" w:space="0" w:color="auto"/>
            <w:bottom w:val="none" w:sz="0" w:space="0" w:color="auto"/>
            <w:right w:val="none" w:sz="0" w:space="0" w:color="auto"/>
          </w:divBdr>
          <w:divsChild>
            <w:div w:id="512838059">
              <w:marLeft w:val="0"/>
              <w:marRight w:val="0"/>
              <w:marTop w:val="0"/>
              <w:marBottom w:val="0"/>
              <w:divBdr>
                <w:top w:val="none" w:sz="0" w:space="0" w:color="auto"/>
                <w:left w:val="none" w:sz="0" w:space="0" w:color="auto"/>
                <w:bottom w:val="none" w:sz="0" w:space="0" w:color="auto"/>
                <w:right w:val="none" w:sz="0" w:space="0" w:color="auto"/>
              </w:divBdr>
              <w:divsChild>
                <w:div w:id="2128890459">
                  <w:marLeft w:val="0"/>
                  <w:marRight w:val="0"/>
                  <w:marTop w:val="0"/>
                  <w:marBottom w:val="0"/>
                  <w:divBdr>
                    <w:top w:val="none" w:sz="0" w:space="0" w:color="auto"/>
                    <w:left w:val="none" w:sz="0" w:space="0" w:color="auto"/>
                    <w:bottom w:val="none" w:sz="0" w:space="0" w:color="auto"/>
                    <w:right w:val="none" w:sz="0" w:space="0" w:color="auto"/>
                  </w:divBdr>
                  <w:divsChild>
                    <w:div w:id="1153985667">
                      <w:marLeft w:val="0"/>
                      <w:marRight w:val="0"/>
                      <w:marTop w:val="0"/>
                      <w:marBottom w:val="0"/>
                      <w:divBdr>
                        <w:top w:val="none" w:sz="0" w:space="0" w:color="auto"/>
                        <w:left w:val="none" w:sz="0" w:space="0" w:color="auto"/>
                        <w:bottom w:val="none" w:sz="0" w:space="0" w:color="auto"/>
                        <w:right w:val="none" w:sz="0" w:space="0" w:color="auto"/>
                      </w:divBdr>
                      <w:divsChild>
                        <w:div w:id="960956205">
                          <w:marLeft w:val="0"/>
                          <w:marRight w:val="0"/>
                          <w:marTop w:val="0"/>
                          <w:marBottom w:val="0"/>
                          <w:divBdr>
                            <w:top w:val="none" w:sz="0" w:space="0" w:color="auto"/>
                            <w:left w:val="none" w:sz="0" w:space="0" w:color="auto"/>
                            <w:bottom w:val="none" w:sz="0" w:space="0" w:color="auto"/>
                            <w:right w:val="none" w:sz="0" w:space="0" w:color="auto"/>
                          </w:divBdr>
                          <w:divsChild>
                            <w:div w:id="9187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30170">
      <w:bodyDiv w:val="1"/>
      <w:marLeft w:val="0"/>
      <w:marRight w:val="0"/>
      <w:marTop w:val="0"/>
      <w:marBottom w:val="0"/>
      <w:divBdr>
        <w:top w:val="none" w:sz="0" w:space="0" w:color="auto"/>
        <w:left w:val="none" w:sz="0" w:space="0" w:color="auto"/>
        <w:bottom w:val="none" w:sz="0" w:space="0" w:color="auto"/>
        <w:right w:val="none" w:sz="0" w:space="0" w:color="auto"/>
      </w:divBdr>
    </w:div>
    <w:div w:id="2113547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b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C710-6ECA-1348-9277-24118A0D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1137</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June 2003</vt:lpstr>
      <vt:lpstr>June 2003</vt:lpstr>
    </vt:vector>
  </TitlesOfParts>
  <Company>TOSHIBA</Company>
  <LinksUpToDate>false</LinksUpToDate>
  <CharactersWithSpaces>7609</CharactersWithSpaces>
  <SharedDoc>false</SharedDoc>
  <HLinks>
    <vt:vector size="12" baseType="variant">
      <vt:variant>
        <vt:i4>2097271</vt:i4>
      </vt:variant>
      <vt:variant>
        <vt:i4>3</vt:i4>
      </vt:variant>
      <vt:variant>
        <vt:i4>0</vt:i4>
      </vt:variant>
      <vt:variant>
        <vt:i4>5</vt:i4>
      </vt:variant>
      <vt:variant>
        <vt:lpwstr>https://www.business.hsbc.com/navigator</vt:lpwstr>
      </vt:variant>
      <vt:variant>
        <vt:lpwstr/>
      </vt:variant>
      <vt:variant>
        <vt:i4>538910734</vt:i4>
      </vt:variant>
      <vt:variant>
        <vt:i4>0</vt:i4>
      </vt:variant>
      <vt:variant>
        <vt:i4>0</vt:i4>
      </vt:variant>
      <vt:variant>
        <vt:i4>5</vt:i4>
      </vt:variant>
      <vt:variant>
        <vt:lpwstr>navigator: Made for the Future, a survey of over 2,500 companies in 14 countries and territories, shows that 34%25 of decision-makers think their technological focus will ‘totally’ change over the coming 24 months, with a further 45%25 expecting ‘slight’ change. As they seek to become more customer-centric and to boost productivity, over half (55%25) plan to invest more in research and 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2003</dc:title>
  <dc:subject/>
  <dc:creator>Charlie Brett</dc:creator>
  <cp:keywords>PUBLIC -</cp:keywords>
  <dc:description>PUBLIC</dc:description>
  <cp:lastModifiedBy>Dominik Jezek</cp:lastModifiedBy>
  <cp:revision>10</cp:revision>
  <cp:lastPrinted>2018-06-06T15:10:00Z</cp:lastPrinted>
  <dcterms:created xsi:type="dcterms:W3CDTF">2020-01-08T15:39:00Z</dcterms:created>
  <dcterms:modified xsi:type="dcterms:W3CDTF">2020-02-04T09:56:00Z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CLAPUBLIC</vt:lpwstr>
  </property>
</Properties>
</file>