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681E" w14:textId="77777777" w:rsidR="00AB515D" w:rsidRPr="00433B62" w:rsidRDefault="00AB515D" w:rsidP="004E1D63">
      <w:pPr>
        <w:rPr>
          <w:rFonts w:ascii="Calibri" w:hAnsi="Calibri" w:cs="Calibri"/>
          <w:b/>
          <w:sz w:val="24"/>
        </w:rPr>
      </w:pPr>
    </w:p>
    <w:p w14:paraId="0EDA27A7" w14:textId="345A8648" w:rsidR="00E73FBC" w:rsidRPr="00433B62" w:rsidRDefault="00C6730F" w:rsidP="7CCEFD35">
      <w:pPr>
        <w:spacing w:after="160" w:line="25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ezoi14pvxii" w:colFirst="0" w:colLast="0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Průzkum HSBC: </w:t>
      </w:r>
      <w:r w:rsidR="7CCEFD35" w:rsidRPr="7CCEFD35">
        <w:rPr>
          <w:rFonts w:ascii="Calibri" w:hAnsi="Calibri" w:cs="Calibri"/>
          <w:b/>
          <w:bCs/>
          <w:sz w:val="28"/>
          <w:szCs w:val="28"/>
        </w:rPr>
        <w:t>Evropa se během pandemie přiklání k udržitelnosti</w:t>
      </w:r>
    </w:p>
    <w:p w14:paraId="606E880D" w14:textId="1F982DFE" w:rsidR="0076496B" w:rsidRPr="00433B62" w:rsidRDefault="00E73FBC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00433B62">
        <w:rPr>
          <w:rFonts w:cs="Arial"/>
          <w:sz w:val="22"/>
          <w:szCs w:val="22"/>
          <w:lang w:val="cs-CZ"/>
        </w:rPr>
        <w:t xml:space="preserve">Praha, </w:t>
      </w:r>
      <w:r w:rsidR="0076496B" w:rsidRPr="00433B62">
        <w:rPr>
          <w:rFonts w:cs="Arial"/>
          <w:sz w:val="22"/>
          <w:szCs w:val="22"/>
          <w:lang w:val="cs-CZ"/>
        </w:rPr>
        <w:t>x</w:t>
      </w:r>
      <w:r w:rsidRPr="00433B62">
        <w:rPr>
          <w:rFonts w:cs="Arial"/>
          <w:sz w:val="22"/>
          <w:szCs w:val="22"/>
          <w:lang w:val="cs-CZ"/>
        </w:rPr>
        <w:t>. listopadu 2020 – </w:t>
      </w:r>
      <w:r w:rsidR="00165D4F" w:rsidRPr="00433B62">
        <w:rPr>
          <w:rFonts w:cs="Arial"/>
          <w:sz w:val="22"/>
          <w:szCs w:val="22"/>
          <w:lang w:val="cs-CZ"/>
        </w:rPr>
        <w:t xml:space="preserve">Přestože se museli vypořádat s dopady pandemie covidu-19, emitenti na kapitálových trzích v Evropě </w:t>
      </w:r>
      <w:r w:rsidR="0077569D" w:rsidRPr="00433B62">
        <w:rPr>
          <w:rFonts w:cs="Arial"/>
          <w:sz w:val="22"/>
          <w:szCs w:val="22"/>
          <w:lang w:val="cs-CZ"/>
        </w:rPr>
        <w:t>přikládají udržitelným financím větší význam než před rokem</w:t>
      </w:r>
      <w:r w:rsidR="00165D4F" w:rsidRPr="00433B62">
        <w:rPr>
          <w:rFonts w:cs="Arial"/>
          <w:sz w:val="22"/>
          <w:szCs w:val="22"/>
          <w:lang w:val="cs-CZ"/>
        </w:rPr>
        <w:t>. To vyplývá z</w:t>
      </w:r>
      <w:r w:rsidR="008D5BAE" w:rsidRPr="00433B62">
        <w:rPr>
          <w:rFonts w:cs="Arial"/>
          <w:sz w:val="22"/>
          <w:szCs w:val="22"/>
          <w:lang w:val="cs-CZ"/>
        </w:rPr>
        <w:t> nejnovější</w:t>
      </w:r>
      <w:r w:rsidR="00433B62" w:rsidRPr="00433B62">
        <w:rPr>
          <w:rFonts w:cs="Arial"/>
          <w:sz w:val="22"/>
          <w:szCs w:val="22"/>
          <w:lang w:val="cs-CZ"/>
        </w:rPr>
        <w:t>ho</w:t>
      </w:r>
      <w:r w:rsidR="008D5BAE" w:rsidRPr="00433B62">
        <w:rPr>
          <w:rFonts w:cs="Arial"/>
          <w:sz w:val="22"/>
          <w:szCs w:val="22"/>
          <w:lang w:val="cs-CZ"/>
        </w:rPr>
        <w:t xml:space="preserve"> </w:t>
      </w:r>
      <w:r w:rsidR="00180119" w:rsidRPr="00433B62">
        <w:rPr>
          <w:rFonts w:cs="Arial"/>
          <w:sz w:val="22"/>
          <w:szCs w:val="22"/>
          <w:lang w:val="cs-CZ"/>
        </w:rPr>
        <w:t xml:space="preserve">celosvětového </w:t>
      </w:r>
      <w:r w:rsidR="00165D4F" w:rsidRPr="00433B62">
        <w:rPr>
          <w:rFonts w:cs="Arial"/>
          <w:sz w:val="22"/>
          <w:szCs w:val="22"/>
          <w:lang w:val="cs-CZ"/>
        </w:rPr>
        <w:t xml:space="preserve">průzkumu </w:t>
      </w:r>
      <w:hyperlink r:id="rId8" w:history="1">
        <w:r w:rsidR="00165D4F" w:rsidRPr="00433B62">
          <w:rPr>
            <w:rStyle w:val="Hyperlink"/>
            <w:rFonts w:cs="Arial"/>
            <w:sz w:val="22"/>
            <w:szCs w:val="22"/>
            <w:lang w:val="cs-CZ"/>
          </w:rPr>
          <w:t>HSBC</w:t>
        </w:r>
        <w:r w:rsidR="0077569D" w:rsidRPr="00433B62">
          <w:rPr>
            <w:rStyle w:val="Hyperlink"/>
            <w:rFonts w:cs="Arial"/>
            <w:sz w:val="22"/>
            <w:szCs w:val="22"/>
            <w:lang w:val="cs-CZ"/>
          </w:rPr>
          <w:t xml:space="preserve"> o udržitelném financování a investování</w:t>
        </w:r>
      </w:hyperlink>
      <w:r w:rsidR="00334A2C" w:rsidRPr="00433B62">
        <w:rPr>
          <w:rFonts w:cs="Arial"/>
          <w:sz w:val="22"/>
          <w:szCs w:val="22"/>
          <w:lang w:val="cs-CZ"/>
        </w:rPr>
        <w:t>.</w:t>
      </w:r>
    </w:p>
    <w:p w14:paraId="7B0AB1D1" w14:textId="6454A92B" w:rsidR="00180119" w:rsidRPr="00433B62" w:rsidRDefault="00180119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499E8D4E" w14:textId="718FD74D" w:rsidR="00433B62" w:rsidRPr="00433B62" w:rsidRDefault="7CCEFD35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V něm se více než třetina (36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 evropských emitentů vyjádřila,</w:t>
      </w:r>
      <w:r w:rsidR="00957866">
        <w:rPr>
          <w:rFonts w:cs="Arial"/>
          <w:sz w:val="22"/>
          <w:szCs w:val="22"/>
          <w:lang w:val="cs-CZ"/>
        </w:rPr>
        <w:t xml:space="preserve"> že pandemie posílila jejich přesvědčení, že udržitelnost je tou správnou cestou.</w:t>
      </w:r>
      <w:r w:rsidRPr="7CCEFD35">
        <w:rPr>
          <w:rFonts w:cs="Arial"/>
          <w:sz w:val="22"/>
          <w:szCs w:val="22"/>
          <w:lang w:val="cs-CZ"/>
        </w:rPr>
        <w:t xml:space="preserve"> </w:t>
      </w:r>
      <w:r w:rsidR="00957866">
        <w:rPr>
          <w:rFonts w:cs="Arial"/>
          <w:sz w:val="22"/>
          <w:szCs w:val="22"/>
          <w:lang w:val="cs-CZ"/>
        </w:rPr>
        <w:t>Pro tři</w:t>
      </w:r>
      <w:r w:rsidRPr="7CCEFD35">
        <w:rPr>
          <w:rFonts w:cs="Arial"/>
          <w:sz w:val="22"/>
          <w:szCs w:val="22"/>
          <w:lang w:val="cs-CZ"/>
        </w:rPr>
        <w:t xml:space="preserve"> čtvrtiny (77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 xml:space="preserve">%) pandemie </w:t>
      </w:r>
      <w:r w:rsidR="00957866">
        <w:rPr>
          <w:rFonts w:cs="Arial"/>
          <w:sz w:val="22"/>
          <w:szCs w:val="22"/>
          <w:lang w:val="cs-CZ"/>
        </w:rPr>
        <w:t>buď znamenala</w:t>
      </w:r>
      <w:r w:rsidRPr="7CCEFD35">
        <w:rPr>
          <w:rFonts w:cs="Arial"/>
          <w:sz w:val="22"/>
          <w:szCs w:val="22"/>
          <w:lang w:val="cs-CZ"/>
        </w:rPr>
        <w:t xml:space="preserve"> upevn</w:t>
      </w:r>
      <w:r w:rsidR="00957866">
        <w:rPr>
          <w:rFonts w:cs="Arial"/>
          <w:sz w:val="22"/>
          <w:szCs w:val="22"/>
          <w:lang w:val="cs-CZ"/>
        </w:rPr>
        <w:t>ění</w:t>
      </w:r>
      <w:r w:rsidRPr="7CCEFD35">
        <w:rPr>
          <w:rFonts w:cs="Arial"/>
          <w:sz w:val="22"/>
          <w:szCs w:val="22"/>
          <w:lang w:val="cs-CZ"/>
        </w:rPr>
        <w:t xml:space="preserve"> jejich závaz</w:t>
      </w:r>
      <w:r w:rsidR="00957866">
        <w:rPr>
          <w:rFonts w:cs="Arial"/>
          <w:sz w:val="22"/>
          <w:szCs w:val="22"/>
          <w:lang w:val="cs-CZ"/>
        </w:rPr>
        <w:t>ku</w:t>
      </w:r>
      <w:r w:rsidRPr="7CCEFD35">
        <w:rPr>
          <w:rFonts w:cs="Arial"/>
          <w:sz w:val="22"/>
          <w:szCs w:val="22"/>
          <w:lang w:val="cs-CZ"/>
        </w:rPr>
        <w:t xml:space="preserve"> k investování s ohledem na životní prostředí, sociální a správní oblast (ESG), nebo odhalila, že by se měli více zaměřit na jeho sociální dopady.</w:t>
      </w:r>
    </w:p>
    <w:p w14:paraId="6FDBB917" w14:textId="5B5888D6" w:rsidR="00433B62" w:rsidRDefault="00433B62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17086E8C" w14:textId="5A426D1D" w:rsidR="00EB2B36" w:rsidRPr="00800349" w:rsidRDefault="00EB2B36" w:rsidP="7CCEFD35">
      <w:pP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„Před půl rokem se mnoho lidí obávalo, že se vlády a firmy ve snaze podpořit ekonomiku zaměří na krátkodobá řešení bez ohledu na životní prostředí. Průzkum HSBC naštěstí ukazuje </w:t>
      </w:r>
      <w:r w:rsidRPr="0097449F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jiný obrázek.</w:t>
      </w: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Zájem o udržitelné financování a investice je bezpochyby na vzestupu, zejména mezi investory z Evropy.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Tento trend vidíme i 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u firem </w:t>
      </w: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v České republice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. V poslední době zde </w:t>
      </w:r>
      <w:r w:rsidR="00CD172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pozorujeme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zájem o zelené dluhopisy a jiné formy udržitelného financování. </w:t>
      </w: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Jde o</w:t>
      </w:r>
      <w:r w:rsidR="00303EB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 </w:t>
      </w: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dobrý start, ale stále je to pouze začátek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="00800349" w:rsidRP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Finanční instituce 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mohou</w:t>
      </w:r>
      <w:r w:rsidR="00800349" w:rsidRP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hrát zásadní roli při promítání těchto trendů do </w:t>
      </w:r>
      <w:r w:rsidR="00CD172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investičních </w:t>
      </w:r>
      <w:r w:rsidR="00800349" w:rsidRP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plán</w:t>
      </w:r>
      <w:r w:rsidR="00CD172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ů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, jak</w:t>
      </w:r>
      <w:r w:rsidR="00800349" w:rsidRP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transform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ovat</w:t>
      </w:r>
      <w:r w:rsidR="00800349" w:rsidRP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ekonomik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u</w:t>
      </w:r>
      <w:r w:rsidR="00800349" w:rsidRP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.</w:t>
      </w:r>
      <w:r w:rsidR="008003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HSBC </w:t>
      </w:r>
      <w:r w:rsidR="00CD172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se proto se svým globálním vlivem a rozsahem činností zavázala, že přispěje k tomu, abychom mohli co nejdříve žít na zdravější planetě</w:t>
      </w:r>
      <w:r w:rsidRPr="0097449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n-GB"/>
        </w:rPr>
        <w:t>,“</w:t>
      </w:r>
      <w:r w:rsidRPr="0097449F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říká Richard </w:t>
      </w:r>
      <w:proofErr w:type="spellStart"/>
      <w:r w:rsidRPr="0097449F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Keery</w:t>
      </w:r>
      <w:proofErr w:type="spellEnd"/>
      <w:r w:rsidRPr="0097449F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, generální ředitel HSBC Česká republika.</w:t>
      </w:r>
    </w:p>
    <w:p w14:paraId="6E865FB8" w14:textId="0AB50001" w:rsidR="00433B62" w:rsidRDefault="00433B62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5CCDD711" w14:textId="3CDB9039" w:rsidR="00EB2B36" w:rsidRDefault="7CCEFD35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Evropští emitenti se nyní věnují environmentálním a sociálním problémům nejvíce na světě – 95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 dotázaných v Evropě uvedlo, že tyto otázky jsou pro ně „velmi důležité“ (76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 nebo „spíše důležité“ (19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%), celosvětově pak jde o 93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 xml:space="preserve">% oslovených. </w:t>
      </w:r>
    </w:p>
    <w:p w14:paraId="3DB2AD74" w14:textId="77777777" w:rsidR="00EB2B36" w:rsidRPr="00433B62" w:rsidRDefault="00EB2B36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43DFF800" w14:textId="08A13AA0" w:rsidR="00165D4F" w:rsidRDefault="7CCEFD35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Evropské emitenty k tomu nejčastěji vedou jejich firemní hodnoty (62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%). Z</w:t>
      </w:r>
      <w:r w:rsidR="00957866">
        <w:rPr>
          <w:rFonts w:cs="Arial"/>
          <w:sz w:val="22"/>
          <w:szCs w:val="22"/>
          <w:lang w:val="cs-CZ"/>
        </w:rPr>
        <w:t xml:space="preserve"> </w:t>
      </w:r>
      <w:r w:rsidRPr="7CCEFD35">
        <w:rPr>
          <w:rFonts w:cs="Arial"/>
          <w:sz w:val="22"/>
          <w:szCs w:val="22"/>
          <w:lang w:val="cs-CZ"/>
        </w:rPr>
        <w:t>dalších faktorů pak uvedli víru v návratnost udržitelných investic (36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 a vnější vlivy, zejména neziskové organizace (43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 a zákazníky (36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%).</w:t>
      </w:r>
    </w:p>
    <w:p w14:paraId="6E8EAF9B" w14:textId="72F3C33E" w:rsidR="003327E4" w:rsidRDefault="003327E4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52BAE1E3" w14:textId="4E38B4C5" w:rsidR="003327E4" w:rsidRPr="003327E4" w:rsidRDefault="7CCEFD35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Z evropských investorů se 79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 xml:space="preserve">% domnívá, že environmentální a sociální otázky jsou velmi nebo </w:t>
      </w:r>
      <w:r w:rsidR="00C36895">
        <w:rPr>
          <w:rFonts w:cs="Arial"/>
          <w:sz w:val="22"/>
          <w:szCs w:val="22"/>
          <w:lang w:val="cs-CZ"/>
        </w:rPr>
        <w:t xml:space="preserve">spíše </w:t>
      </w:r>
      <w:r w:rsidRPr="7CCEFD35">
        <w:rPr>
          <w:rFonts w:cs="Arial"/>
          <w:sz w:val="22"/>
          <w:szCs w:val="22"/>
          <w:lang w:val="cs-CZ"/>
        </w:rPr>
        <w:t>důležité, přičemž na celém světě se o ně zajímá dokonce 86 % z</w:t>
      </w:r>
      <w:r w:rsidR="00303EB3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nich. Postoje evropských investorů nejvíce ovlivňují sociální tlak (47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 a regulace (43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%).</w:t>
      </w:r>
    </w:p>
    <w:p w14:paraId="66789A1A" w14:textId="77777777" w:rsidR="003327E4" w:rsidRPr="003327E4" w:rsidRDefault="003327E4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66D72E2A" w14:textId="58ECE877" w:rsidR="00DD4E51" w:rsidRDefault="7CCEFD35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Ve srovnání s jinými regiony se investoři v Evropě cítí více zodpovědní za to, aby se vyhnuli investicím s negativním dopadem na životní prostředí a společnost. Tak to vnímá 61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 z nich oproti celosvětovému průměru ve výši 53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%. U evropských investorů je také podstatně pravděpodobnější, že budou při rozhodování o</w:t>
      </w:r>
      <w:r w:rsidR="00303EB3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investicích vždy zohledňovat principy ESG – činí tak 39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 investorů, což je o</w:t>
      </w:r>
      <w:r w:rsidR="00303EB3">
        <w:rPr>
          <w:rFonts w:cs="Arial"/>
          <w:sz w:val="22"/>
          <w:szCs w:val="22"/>
          <w:lang w:val="cs-CZ"/>
        </w:rPr>
        <w:t> </w:t>
      </w:r>
      <w:proofErr w:type="gramStart"/>
      <w:r w:rsidR="00957866" w:rsidRPr="7CCEFD35">
        <w:rPr>
          <w:rFonts w:cs="Arial"/>
          <w:sz w:val="22"/>
          <w:szCs w:val="22"/>
          <w:lang w:val="cs-CZ"/>
        </w:rPr>
        <w:t>8</w:t>
      </w:r>
      <w:r w:rsidR="00957866">
        <w:rPr>
          <w:rFonts w:cs="Arial"/>
          <w:sz w:val="22"/>
          <w:szCs w:val="22"/>
          <w:lang w:val="cs-CZ"/>
        </w:rPr>
        <w:t> </w:t>
      </w:r>
      <w:r w:rsidR="00957866" w:rsidRPr="7CCEFD35">
        <w:rPr>
          <w:rFonts w:cs="Arial"/>
          <w:sz w:val="22"/>
          <w:szCs w:val="22"/>
          <w:lang w:val="cs-CZ"/>
        </w:rPr>
        <w:t>procentních</w:t>
      </w:r>
      <w:proofErr w:type="gramEnd"/>
      <w:r w:rsidR="00957866">
        <w:rPr>
          <w:rFonts w:cs="Arial"/>
          <w:sz w:val="22"/>
          <w:szCs w:val="22"/>
          <w:lang w:val="cs-CZ"/>
        </w:rPr>
        <w:t xml:space="preserve"> bodů</w:t>
      </w:r>
      <w:r w:rsidRPr="7CCEFD35">
        <w:rPr>
          <w:rFonts w:cs="Arial"/>
          <w:sz w:val="22"/>
          <w:szCs w:val="22"/>
          <w:lang w:val="cs-CZ"/>
        </w:rPr>
        <w:t xml:space="preserve"> více než ve zbytku světa.</w:t>
      </w:r>
    </w:p>
    <w:p w14:paraId="05A66468" w14:textId="5B669038" w:rsidR="00DD4E51" w:rsidRDefault="00DD4E51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08B79528" w14:textId="58A68F1A" w:rsidR="00DD4E51" w:rsidRPr="00F11E02" w:rsidRDefault="00DD4E51" w:rsidP="003327E4">
      <w:pPr>
        <w:pStyle w:val="BodyText1"/>
        <w:spacing w:line="276" w:lineRule="auto"/>
        <w:rPr>
          <w:rFonts w:cs="Arial"/>
          <w:i/>
          <w:iCs/>
          <w:sz w:val="22"/>
          <w:szCs w:val="22"/>
          <w:lang w:val="cs-CZ"/>
        </w:rPr>
      </w:pPr>
      <w:r w:rsidRPr="00F11E02">
        <w:rPr>
          <w:rFonts w:cs="Arial"/>
          <w:i/>
          <w:iCs/>
          <w:sz w:val="22"/>
          <w:szCs w:val="22"/>
          <w:lang w:val="cs-CZ"/>
        </w:rPr>
        <w:lastRenderedPageBreak/>
        <w:t xml:space="preserve">„Udržitelné financování se stalo na kapitálových trzích </w:t>
      </w:r>
      <w:proofErr w:type="spellStart"/>
      <w:r w:rsidRPr="00F11E02">
        <w:rPr>
          <w:rFonts w:cs="Arial"/>
          <w:i/>
          <w:iCs/>
          <w:sz w:val="22"/>
          <w:szCs w:val="22"/>
          <w:lang w:val="cs-CZ"/>
        </w:rPr>
        <w:t>mainstreamem</w:t>
      </w:r>
      <w:proofErr w:type="spellEnd"/>
      <w:r w:rsidRPr="00F11E02">
        <w:rPr>
          <w:rFonts w:cs="Arial"/>
          <w:i/>
          <w:iCs/>
          <w:sz w:val="22"/>
          <w:szCs w:val="22"/>
          <w:lang w:val="cs-CZ"/>
        </w:rPr>
        <w:t xml:space="preserve"> ještě rychleji, než jsme očekávali. </w:t>
      </w:r>
      <w:r w:rsidR="00F11E02" w:rsidRPr="00F11E02">
        <w:rPr>
          <w:rFonts w:cs="Arial"/>
          <w:i/>
          <w:iCs/>
          <w:sz w:val="22"/>
          <w:szCs w:val="22"/>
          <w:lang w:val="cs-CZ"/>
        </w:rPr>
        <w:t xml:space="preserve">Proto se ESG produkty nyní čím dál častěji berou jako tradiční aktiva spíše než zaměření se na </w:t>
      </w:r>
      <w:r w:rsidRPr="00F11E02">
        <w:rPr>
          <w:rFonts w:cs="Arial"/>
          <w:i/>
          <w:iCs/>
          <w:sz w:val="22"/>
          <w:szCs w:val="22"/>
          <w:lang w:val="cs-CZ"/>
        </w:rPr>
        <w:t xml:space="preserve">sociální a environmentální </w:t>
      </w:r>
      <w:r w:rsidR="00F11E02" w:rsidRPr="00F11E02">
        <w:rPr>
          <w:rFonts w:cs="Arial"/>
          <w:i/>
          <w:iCs/>
          <w:sz w:val="22"/>
          <w:szCs w:val="22"/>
          <w:lang w:val="cs-CZ"/>
        </w:rPr>
        <w:t>problémy</w:t>
      </w:r>
      <w:r w:rsidRPr="00F11E02">
        <w:rPr>
          <w:rFonts w:cs="Arial"/>
          <w:i/>
          <w:iCs/>
          <w:sz w:val="22"/>
          <w:szCs w:val="22"/>
          <w:lang w:val="cs-CZ"/>
        </w:rPr>
        <w:t>,</w:t>
      </w:r>
      <w:r w:rsidR="00F11E02" w:rsidRPr="00F11E02">
        <w:rPr>
          <w:rFonts w:cs="Arial"/>
          <w:i/>
          <w:iCs/>
          <w:sz w:val="22"/>
          <w:szCs w:val="22"/>
          <w:lang w:val="cs-CZ"/>
        </w:rPr>
        <w:t>“</w:t>
      </w:r>
      <w:r w:rsidRPr="00DD4E51">
        <w:rPr>
          <w:rFonts w:cs="Arial"/>
          <w:sz w:val="22"/>
          <w:szCs w:val="22"/>
          <w:lang w:val="cs-CZ"/>
        </w:rPr>
        <w:t xml:space="preserve"> uvedl Daniel Klier, </w:t>
      </w:r>
      <w:r w:rsidR="00F11E02">
        <w:rPr>
          <w:rFonts w:cs="Arial"/>
          <w:sz w:val="22"/>
          <w:szCs w:val="22"/>
          <w:lang w:val="cs-CZ"/>
        </w:rPr>
        <w:t>ředitel udržitelného financování v</w:t>
      </w:r>
      <w:r w:rsidR="00303EB3">
        <w:rPr>
          <w:rFonts w:cs="Arial"/>
          <w:sz w:val="22"/>
          <w:szCs w:val="22"/>
          <w:lang w:val="cs-CZ"/>
        </w:rPr>
        <w:t> </w:t>
      </w:r>
      <w:r w:rsidR="00F11E02">
        <w:rPr>
          <w:rFonts w:cs="Arial"/>
          <w:sz w:val="22"/>
          <w:szCs w:val="22"/>
          <w:lang w:val="cs-CZ"/>
        </w:rPr>
        <w:t>HSBC</w:t>
      </w:r>
      <w:r w:rsidR="00303EB3">
        <w:rPr>
          <w:rFonts w:cs="Arial"/>
          <w:sz w:val="22"/>
          <w:szCs w:val="22"/>
          <w:lang w:val="cs-CZ"/>
        </w:rPr>
        <w:t>,</w:t>
      </w:r>
      <w:r w:rsidR="00F11E02">
        <w:rPr>
          <w:rFonts w:cs="Arial"/>
          <w:sz w:val="22"/>
          <w:szCs w:val="22"/>
          <w:lang w:val="cs-CZ"/>
        </w:rPr>
        <w:t xml:space="preserve"> a dodává: </w:t>
      </w:r>
      <w:r w:rsidR="00F11E02" w:rsidRPr="00F11E02">
        <w:rPr>
          <w:rFonts w:cs="Arial"/>
          <w:i/>
          <w:iCs/>
          <w:sz w:val="22"/>
          <w:szCs w:val="22"/>
          <w:lang w:val="cs-CZ"/>
        </w:rPr>
        <w:t>„Jde o optimistický vývoj, protože z dlouhodobého hlediska závisí úspěch trhů na schopnosti investic respektujících principy ESG konkurovat jiným tradičním aktivům z pohledu rizika a</w:t>
      </w:r>
      <w:r w:rsidR="00303EB3">
        <w:rPr>
          <w:rFonts w:cs="Arial"/>
          <w:i/>
          <w:iCs/>
          <w:sz w:val="22"/>
          <w:szCs w:val="22"/>
          <w:lang w:val="cs-CZ"/>
        </w:rPr>
        <w:t> </w:t>
      </w:r>
      <w:r w:rsidR="00F11E02" w:rsidRPr="00F11E02">
        <w:rPr>
          <w:rFonts w:cs="Arial"/>
          <w:i/>
          <w:iCs/>
          <w:sz w:val="22"/>
          <w:szCs w:val="22"/>
          <w:lang w:val="cs-CZ"/>
        </w:rPr>
        <w:t>návratnosti.“</w:t>
      </w:r>
    </w:p>
    <w:p w14:paraId="4CFD533A" w14:textId="77777777" w:rsidR="00F11E02" w:rsidRDefault="00F11E02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0CFAC4DA" w14:textId="08CCB356" w:rsidR="00F11E02" w:rsidRDefault="7CCEFD35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 xml:space="preserve">Podle </w:t>
      </w:r>
      <w:hyperlink r:id="rId9">
        <w:r w:rsidRPr="7CCEFD35">
          <w:rPr>
            <w:rStyle w:val="Hyperlink"/>
            <w:rFonts w:cs="Arial"/>
            <w:sz w:val="22"/>
            <w:szCs w:val="22"/>
            <w:lang w:val="cs-CZ"/>
          </w:rPr>
          <w:t xml:space="preserve">analýzy společnosti HSBC </w:t>
        </w:r>
        <w:proofErr w:type="spellStart"/>
        <w:r w:rsidRPr="7CCEFD35">
          <w:rPr>
            <w:rStyle w:val="Hyperlink"/>
            <w:rFonts w:cs="Arial"/>
            <w:sz w:val="22"/>
            <w:szCs w:val="22"/>
            <w:lang w:val="cs-CZ"/>
          </w:rPr>
          <w:t>Global</w:t>
        </w:r>
        <w:proofErr w:type="spellEnd"/>
        <w:r w:rsidRPr="7CCEFD35">
          <w:rPr>
            <w:rStyle w:val="Hyperlink"/>
            <w:rFonts w:cs="Arial"/>
            <w:sz w:val="22"/>
            <w:szCs w:val="22"/>
            <w:lang w:val="cs-CZ"/>
          </w:rPr>
          <w:t xml:space="preserve"> </w:t>
        </w:r>
        <w:proofErr w:type="spellStart"/>
        <w:r w:rsidRPr="7CCEFD35">
          <w:rPr>
            <w:rStyle w:val="Hyperlink"/>
            <w:rFonts w:cs="Arial"/>
            <w:sz w:val="22"/>
            <w:szCs w:val="22"/>
            <w:lang w:val="cs-CZ"/>
          </w:rPr>
          <w:t>Research</w:t>
        </w:r>
        <w:proofErr w:type="spellEnd"/>
      </w:hyperlink>
      <w:r w:rsidRPr="7CCEFD35">
        <w:rPr>
          <w:rFonts w:cs="Arial"/>
          <w:sz w:val="22"/>
          <w:szCs w:val="22"/>
          <w:lang w:val="cs-CZ"/>
        </w:rPr>
        <w:t xml:space="preserve"> se akcie velkých společností s</w:t>
      </w:r>
      <w:r w:rsidR="00303EB3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lepším ESG ratingem od poloviny prosince 2019 zhodnotily o 4,7</w:t>
      </w:r>
      <w:r w:rsidR="00957866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 více oproti celosvětovému průměru. U akcií zaměřených na životní prostředí je rozdíl ještě markantnější. Jejich výkonnost za stejné období předčila celosvětový průměr dokonce o 13</w:t>
      </w:r>
      <w:r w:rsidR="00763C5F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%.</w:t>
      </w:r>
    </w:p>
    <w:p w14:paraId="5124AD80" w14:textId="0720F367" w:rsidR="00541FF8" w:rsidRDefault="00541FF8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1626591D" w14:textId="00F89CEF" w:rsidR="00541FF8" w:rsidRDefault="7CCEFD35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Mezi další závěry vyplývající z průzkumu patří, že evropští emitenti i investoři mají velký zájem o projekty podporující udržitelnou infrastrukturu. Emitent</w:t>
      </w:r>
      <w:r w:rsidR="00763C5F">
        <w:rPr>
          <w:rFonts w:cs="Arial"/>
          <w:sz w:val="22"/>
          <w:szCs w:val="22"/>
          <w:lang w:val="cs-CZ"/>
        </w:rPr>
        <w:t>i se zaměřují</w:t>
      </w:r>
      <w:r w:rsidRPr="7CCEFD35">
        <w:rPr>
          <w:rFonts w:cs="Arial"/>
          <w:sz w:val="22"/>
          <w:szCs w:val="22"/>
          <w:lang w:val="cs-CZ"/>
        </w:rPr>
        <w:t xml:space="preserve"> zejména </w:t>
      </w:r>
      <w:r w:rsidR="00763C5F">
        <w:rPr>
          <w:rFonts w:cs="Arial"/>
          <w:sz w:val="22"/>
          <w:szCs w:val="22"/>
          <w:lang w:val="cs-CZ"/>
        </w:rPr>
        <w:t>na</w:t>
      </w:r>
      <w:r w:rsidRPr="7CCEFD35">
        <w:rPr>
          <w:rFonts w:cs="Arial"/>
          <w:sz w:val="22"/>
          <w:szCs w:val="22"/>
          <w:lang w:val="cs-CZ"/>
        </w:rPr>
        <w:t xml:space="preserve"> obnovitelné zdroje a celosvětově se také více zajímají o pohlcování uhlíku a zdroje energie s menším obsahem uhlíku, jako je voda či plyn. Evropští investoři ve srovnání se zbytkem světa upřednostňují spíše projekty v oblasti obnovitelných zdrojů a chytrých měst.</w:t>
      </w:r>
    </w:p>
    <w:p w14:paraId="16D6C6B7" w14:textId="48921693" w:rsidR="009817C8" w:rsidRDefault="009817C8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2778D2CE" w14:textId="27A7942E" w:rsidR="009817C8" w:rsidRDefault="7CCEFD35" w:rsidP="003327E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7CCEFD35">
        <w:rPr>
          <w:rFonts w:cs="Arial"/>
          <w:sz w:val="22"/>
          <w:szCs w:val="22"/>
          <w:lang w:val="cs-CZ"/>
        </w:rPr>
        <w:t>Pouze 4</w:t>
      </w:r>
      <w:r w:rsidR="00763C5F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 xml:space="preserve">% evropských emitentů považují </w:t>
      </w:r>
      <w:r w:rsidR="00763C5F">
        <w:rPr>
          <w:rFonts w:cs="Arial"/>
          <w:sz w:val="22"/>
          <w:szCs w:val="22"/>
          <w:lang w:val="cs-CZ"/>
        </w:rPr>
        <w:t xml:space="preserve">požadavky na </w:t>
      </w:r>
      <w:r w:rsidRPr="7CCEFD35">
        <w:rPr>
          <w:rFonts w:cs="Arial"/>
          <w:sz w:val="22"/>
          <w:szCs w:val="22"/>
          <w:lang w:val="cs-CZ"/>
        </w:rPr>
        <w:t>zveřejňování svých environmentálních a sociálních dopadů za přehnan</w:t>
      </w:r>
      <w:r w:rsidR="00763C5F">
        <w:rPr>
          <w:rFonts w:cs="Arial"/>
          <w:sz w:val="22"/>
          <w:szCs w:val="22"/>
          <w:lang w:val="cs-CZ"/>
        </w:rPr>
        <w:t>é</w:t>
      </w:r>
      <w:r w:rsidRPr="7CCEFD35">
        <w:rPr>
          <w:rFonts w:cs="Arial"/>
          <w:sz w:val="22"/>
          <w:szCs w:val="22"/>
          <w:lang w:val="cs-CZ"/>
        </w:rPr>
        <w:t>, což je podstatně méně, než činí celosvětový průměr (11</w:t>
      </w:r>
      <w:r w:rsidR="00763C5F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%). Téměř třetina z nich (31</w:t>
      </w:r>
      <w:r w:rsidR="00763C5F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 xml:space="preserve">%) také pozitivně vnímá, že </w:t>
      </w:r>
      <w:r w:rsidR="0055707B">
        <w:rPr>
          <w:rFonts w:cs="Arial"/>
          <w:sz w:val="22"/>
          <w:szCs w:val="22"/>
          <w:lang w:val="cs-CZ"/>
        </w:rPr>
        <w:t xml:space="preserve">se </w:t>
      </w:r>
      <w:r w:rsidR="00763C5F">
        <w:rPr>
          <w:rFonts w:cs="Arial"/>
          <w:sz w:val="22"/>
          <w:szCs w:val="22"/>
          <w:lang w:val="cs-CZ"/>
        </w:rPr>
        <w:t xml:space="preserve">tento požadavek </w:t>
      </w:r>
      <w:r w:rsidRPr="7CCEFD35">
        <w:rPr>
          <w:rFonts w:cs="Arial"/>
          <w:sz w:val="22"/>
          <w:szCs w:val="22"/>
          <w:lang w:val="cs-CZ"/>
        </w:rPr>
        <w:t>zvýší, oproti 24</w:t>
      </w:r>
      <w:r w:rsidR="00763C5F">
        <w:rPr>
          <w:rFonts w:cs="Arial"/>
          <w:sz w:val="22"/>
          <w:szCs w:val="22"/>
          <w:lang w:val="cs-CZ"/>
        </w:rPr>
        <w:t> </w:t>
      </w:r>
      <w:r w:rsidRPr="7CCEFD35">
        <w:rPr>
          <w:rFonts w:cs="Arial"/>
          <w:sz w:val="22"/>
          <w:szCs w:val="22"/>
          <w:lang w:val="cs-CZ"/>
        </w:rPr>
        <w:t>% na celém světě.</w:t>
      </w:r>
    </w:p>
    <w:p w14:paraId="3D0F1778" w14:textId="77777777" w:rsidR="00A07624" w:rsidRPr="00433B62" w:rsidRDefault="00A07624" w:rsidP="007223BD">
      <w:pPr>
        <w:rPr>
          <w:rStyle w:val="StyleArial9pt"/>
          <w:rFonts w:ascii="Calibri" w:hAnsi="Calibri" w:cs="Calibri"/>
          <w:sz w:val="20"/>
        </w:rPr>
      </w:pPr>
    </w:p>
    <w:p w14:paraId="433AD555" w14:textId="3E00BAE7" w:rsidR="007223BD" w:rsidRPr="00433B62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433B62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433B62" w:rsidRDefault="007223BD" w:rsidP="007223BD">
      <w:pPr>
        <w:rPr>
          <w:rFonts w:ascii="Calibri" w:hAnsi="Calibri" w:cs="Calibri"/>
        </w:rPr>
      </w:pPr>
    </w:p>
    <w:p w14:paraId="60A63C7C" w14:textId="77777777" w:rsidR="007223BD" w:rsidRPr="00433B62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433B62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433B62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433B62">
        <w:rPr>
          <w:rFonts w:ascii="Calibri" w:hAnsi="Calibri" w:cs="Calibri"/>
          <w:sz w:val="20"/>
          <w:szCs w:val="20"/>
          <w:lang w:val="cs-CZ"/>
        </w:rPr>
        <w:tab/>
      </w:r>
      <w:r w:rsidRPr="00433B62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Pr="00433B62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433B62">
        <w:rPr>
          <w:rFonts w:ascii="Calibri" w:hAnsi="Calibri" w:cs="Calibri"/>
          <w:sz w:val="20"/>
          <w:szCs w:val="20"/>
          <w:lang w:val="cs-CZ"/>
        </w:rPr>
        <w:t>Dominik Ježek</w:t>
      </w:r>
      <w:r w:rsidRPr="00433B62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433B62">
        <w:rPr>
          <w:rFonts w:ascii="Calibri" w:hAnsi="Calibri" w:cs="Calibri"/>
          <w:sz w:val="20"/>
          <w:szCs w:val="20"/>
          <w:lang w:val="cs-CZ"/>
        </w:rPr>
        <w:tab/>
      </w:r>
      <w:hyperlink r:id="rId10" w:history="1">
        <w:r w:rsidR="004C5F66" w:rsidRPr="00433B62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151FDF4F" w14:textId="77777777" w:rsidR="007223BD" w:rsidRPr="00433B62" w:rsidRDefault="007223BD" w:rsidP="00AB515D">
      <w:pPr>
        <w:rPr>
          <w:rFonts w:ascii="Calibri" w:hAnsi="Calibri" w:cs="Calibri"/>
          <w:b/>
          <w:sz w:val="18"/>
          <w:szCs w:val="18"/>
        </w:rPr>
      </w:pPr>
    </w:p>
    <w:p w14:paraId="46EB222F" w14:textId="77777777" w:rsidR="00A07624" w:rsidRPr="00433B62" w:rsidRDefault="00A07624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51A6D785" w14:textId="77777777" w:rsidR="00B32E93" w:rsidRDefault="00B32E93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1DF02E67" w14:textId="77777777" w:rsidR="00B32E93" w:rsidRPr="00B32E93" w:rsidRDefault="00B32E93" w:rsidP="00B32E93">
      <w:pPr>
        <w:rPr>
          <w:rFonts w:ascii="Arial" w:eastAsia="SimSun" w:hAnsi="Arial" w:cs="Arial"/>
          <w:b/>
          <w:bCs/>
          <w:i/>
          <w:sz w:val="18"/>
          <w:szCs w:val="18"/>
          <w:lang w:val="en-GB"/>
        </w:rPr>
      </w:pPr>
      <w:r w:rsidRPr="00B32E93">
        <w:rPr>
          <w:rFonts w:ascii="Arial" w:eastAsia="SimSun" w:hAnsi="Arial" w:cs="Arial"/>
          <w:b/>
          <w:bCs/>
          <w:iCs/>
          <w:sz w:val="18"/>
          <w:szCs w:val="18"/>
          <w:lang w:val="en-GB"/>
        </w:rPr>
        <w:t>HSBC Sustainable Financing and Investing Survey 2020</w:t>
      </w:r>
      <w:r w:rsidRPr="00B32E93">
        <w:rPr>
          <w:rFonts w:ascii="Arial" w:eastAsia="SimSun" w:hAnsi="Arial" w:cs="Arial"/>
          <w:b/>
          <w:bCs/>
          <w:i/>
          <w:sz w:val="18"/>
          <w:szCs w:val="18"/>
          <w:lang w:val="en-GB"/>
        </w:rPr>
        <w:t xml:space="preserve"> </w:t>
      </w:r>
    </w:p>
    <w:p w14:paraId="30799412" w14:textId="4D990276" w:rsidR="00B32E93" w:rsidRDefault="00B32E93" w:rsidP="00B32E93">
      <w:pPr>
        <w:rPr>
          <w:rFonts w:ascii="Arial" w:eastAsia="SimSun" w:hAnsi="Arial" w:cs="Arial"/>
          <w:sz w:val="18"/>
          <w:szCs w:val="18"/>
        </w:rPr>
      </w:pPr>
      <w:r w:rsidRPr="00B32E93">
        <w:rPr>
          <w:rFonts w:ascii="Arial" w:eastAsia="SimSun" w:hAnsi="Arial" w:cs="Arial"/>
          <w:sz w:val="18"/>
          <w:szCs w:val="18"/>
        </w:rPr>
        <w:t>Průzkum udržitelného financování a investic HSBC obsahuje odpovědi od 2</w:t>
      </w:r>
      <w:r w:rsidR="00303EB3">
        <w:rPr>
          <w:rFonts w:ascii="Arial" w:eastAsia="SimSun" w:hAnsi="Arial" w:cs="Arial"/>
          <w:sz w:val="18"/>
          <w:szCs w:val="18"/>
        </w:rPr>
        <w:t> </w:t>
      </w:r>
      <w:r w:rsidRPr="00B32E93">
        <w:rPr>
          <w:rFonts w:ascii="Arial" w:eastAsia="SimSun" w:hAnsi="Arial" w:cs="Arial"/>
          <w:sz w:val="18"/>
          <w:szCs w:val="18"/>
        </w:rPr>
        <w:t>000 účastníků kapitálového trhu (1</w:t>
      </w:r>
      <w:r w:rsidR="00303EB3">
        <w:rPr>
          <w:rFonts w:ascii="Arial" w:eastAsia="SimSun" w:hAnsi="Arial" w:cs="Arial"/>
          <w:sz w:val="18"/>
          <w:szCs w:val="18"/>
        </w:rPr>
        <w:t> </w:t>
      </w:r>
      <w:r w:rsidRPr="00B32E93">
        <w:rPr>
          <w:rFonts w:ascii="Arial" w:eastAsia="SimSun" w:hAnsi="Arial" w:cs="Arial"/>
          <w:sz w:val="18"/>
          <w:szCs w:val="18"/>
        </w:rPr>
        <w:t>000 emi</w:t>
      </w:r>
      <w:r>
        <w:rPr>
          <w:rFonts w:ascii="Arial" w:eastAsia="SimSun" w:hAnsi="Arial" w:cs="Arial"/>
          <w:sz w:val="18"/>
          <w:szCs w:val="18"/>
        </w:rPr>
        <w:t>tentů</w:t>
      </w:r>
      <w:r w:rsidRPr="00B32E93">
        <w:rPr>
          <w:rFonts w:ascii="Arial" w:eastAsia="SimSun" w:hAnsi="Arial" w:cs="Arial"/>
          <w:sz w:val="18"/>
          <w:szCs w:val="18"/>
        </w:rPr>
        <w:t xml:space="preserve"> a 1</w:t>
      </w:r>
      <w:r w:rsidR="00303EB3">
        <w:rPr>
          <w:rFonts w:ascii="Arial" w:eastAsia="SimSun" w:hAnsi="Arial" w:cs="Arial"/>
          <w:sz w:val="18"/>
          <w:szCs w:val="18"/>
        </w:rPr>
        <w:t> </w:t>
      </w:r>
      <w:r w:rsidRPr="00B32E93">
        <w:rPr>
          <w:rFonts w:ascii="Arial" w:eastAsia="SimSun" w:hAnsi="Arial" w:cs="Arial"/>
          <w:sz w:val="18"/>
          <w:szCs w:val="18"/>
        </w:rPr>
        <w:t xml:space="preserve">000 investorů) </w:t>
      </w:r>
      <w:r>
        <w:rPr>
          <w:rFonts w:ascii="Arial" w:eastAsia="SimSun" w:hAnsi="Arial" w:cs="Arial"/>
          <w:sz w:val="18"/>
          <w:szCs w:val="18"/>
        </w:rPr>
        <w:t>z</w:t>
      </w:r>
      <w:r w:rsidRPr="00B32E93">
        <w:rPr>
          <w:rFonts w:ascii="Arial" w:eastAsia="SimSun" w:hAnsi="Arial" w:cs="Arial"/>
          <w:sz w:val="18"/>
          <w:szCs w:val="18"/>
        </w:rPr>
        <w:t xml:space="preserve"> 34 </w:t>
      </w:r>
      <w:r>
        <w:rPr>
          <w:rFonts w:ascii="Arial" w:eastAsia="SimSun" w:hAnsi="Arial" w:cs="Arial"/>
          <w:sz w:val="18"/>
          <w:szCs w:val="18"/>
        </w:rPr>
        <w:t>trhů</w:t>
      </w:r>
      <w:r w:rsidRPr="00B32E93">
        <w:rPr>
          <w:rFonts w:ascii="Arial" w:eastAsia="SimSun" w:hAnsi="Arial" w:cs="Arial"/>
          <w:sz w:val="18"/>
          <w:szCs w:val="18"/>
        </w:rPr>
        <w:t xml:space="preserve"> ohledně jejich měnících se postojů k otázkám udržitelnosti. Zpráva zkoumala 275 emitentů a 275 investorů v Evropě ve Spojeném království, Francii, Německu, Belgii, Nizozemsku, Lucembursku, Itálii, Dánsku, Švédsku, Norsku, Finsku, Rusku a</w:t>
      </w:r>
      <w:r w:rsidR="00303EB3">
        <w:rPr>
          <w:rFonts w:ascii="Arial" w:eastAsia="SimSun" w:hAnsi="Arial" w:cs="Arial"/>
          <w:sz w:val="18"/>
          <w:szCs w:val="18"/>
        </w:rPr>
        <w:t> </w:t>
      </w:r>
      <w:r w:rsidRPr="00B32E93">
        <w:rPr>
          <w:rFonts w:ascii="Arial" w:eastAsia="SimSun" w:hAnsi="Arial" w:cs="Arial"/>
          <w:sz w:val="18"/>
          <w:szCs w:val="18"/>
        </w:rPr>
        <w:t>Španělsku.</w:t>
      </w:r>
    </w:p>
    <w:p w14:paraId="00003D45" w14:textId="77777777" w:rsidR="00B32E93" w:rsidRDefault="00B32E93" w:rsidP="00B32E93">
      <w:pPr>
        <w:rPr>
          <w:rFonts w:ascii="Arial" w:eastAsia="SimSun" w:hAnsi="Arial" w:cs="Arial"/>
          <w:sz w:val="18"/>
          <w:szCs w:val="18"/>
        </w:rPr>
      </w:pPr>
    </w:p>
    <w:p w14:paraId="7B315731" w14:textId="243B3052" w:rsidR="00B32E93" w:rsidRDefault="00B32E93" w:rsidP="00B32E93">
      <w:pPr>
        <w:rPr>
          <w:rFonts w:ascii="Arial" w:eastAsia="SimSun" w:hAnsi="Arial" w:cs="Arial"/>
          <w:sz w:val="18"/>
          <w:szCs w:val="18"/>
        </w:rPr>
      </w:pPr>
      <w:r w:rsidRPr="00B32E93">
        <w:rPr>
          <w:rFonts w:ascii="Arial" w:eastAsia="SimSun" w:hAnsi="Arial" w:cs="Arial"/>
          <w:sz w:val="18"/>
          <w:szCs w:val="18"/>
        </w:rPr>
        <w:t xml:space="preserve">Výzkum provedly společnosti </w:t>
      </w:r>
      <w:proofErr w:type="spellStart"/>
      <w:r w:rsidRPr="00B32E93">
        <w:rPr>
          <w:rFonts w:ascii="Arial" w:eastAsia="SimSun" w:hAnsi="Arial" w:cs="Arial"/>
          <w:sz w:val="18"/>
          <w:szCs w:val="18"/>
        </w:rPr>
        <w:t>GlobalCapital</w:t>
      </w:r>
      <w:proofErr w:type="spellEnd"/>
      <w:r w:rsidRPr="00B32E93">
        <w:rPr>
          <w:rFonts w:ascii="Arial" w:eastAsia="SimSun" w:hAnsi="Arial" w:cs="Arial"/>
          <w:sz w:val="18"/>
          <w:szCs w:val="18"/>
        </w:rPr>
        <w:t xml:space="preserve"> a </w:t>
      </w:r>
      <w:proofErr w:type="spellStart"/>
      <w:r w:rsidRPr="00B32E93">
        <w:rPr>
          <w:rFonts w:ascii="Arial" w:eastAsia="SimSun" w:hAnsi="Arial" w:cs="Arial"/>
          <w:sz w:val="18"/>
          <w:szCs w:val="18"/>
        </w:rPr>
        <w:t>Euromoney</w:t>
      </w:r>
      <w:proofErr w:type="spellEnd"/>
      <w:r w:rsidRPr="00B32E93">
        <w:rPr>
          <w:rFonts w:ascii="Arial" w:eastAsia="SimSun" w:hAnsi="Arial" w:cs="Arial"/>
          <w:sz w:val="18"/>
          <w:szCs w:val="18"/>
        </w:rPr>
        <w:t xml:space="preserve"> </w:t>
      </w:r>
      <w:proofErr w:type="spellStart"/>
      <w:r w:rsidRPr="00B32E93">
        <w:rPr>
          <w:rFonts w:ascii="Arial" w:eastAsia="SimSun" w:hAnsi="Arial" w:cs="Arial"/>
          <w:sz w:val="18"/>
          <w:szCs w:val="18"/>
        </w:rPr>
        <w:t>Insight</w:t>
      </w:r>
      <w:proofErr w:type="spellEnd"/>
      <w:r w:rsidRPr="00B32E93">
        <w:rPr>
          <w:rFonts w:ascii="Arial" w:eastAsia="SimSun" w:hAnsi="Arial" w:cs="Arial"/>
          <w:sz w:val="18"/>
          <w:szCs w:val="18"/>
        </w:rPr>
        <w:t xml:space="preserve"> pro HSBC v období od července do srpna 2020.</w:t>
      </w:r>
    </w:p>
    <w:p w14:paraId="0DB992BC" w14:textId="77777777" w:rsidR="00B32E93" w:rsidRPr="00B32E93" w:rsidRDefault="00B32E93" w:rsidP="00B32E93">
      <w:pPr>
        <w:rPr>
          <w:rFonts w:ascii="Arial" w:eastAsia="SimSun" w:hAnsi="Arial" w:cs="Arial"/>
          <w:sz w:val="18"/>
          <w:szCs w:val="18"/>
        </w:rPr>
      </w:pPr>
    </w:p>
    <w:p w14:paraId="0795D263" w14:textId="0200475B" w:rsidR="00B32E93" w:rsidRPr="00B32E93" w:rsidRDefault="00B32E93" w:rsidP="00B32E93">
      <w:pPr>
        <w:rPr>
          <w:rFonts w:ascii="Arial" w:eastAsia="SimSun" w:hAnsi="Arial" w:cs="Arial"/>
          <w:sz w:val="18"/>
          <w:szCs w:val="18"/>
        </w:rPr>
      </w:pPr>
      <w:r w:rsidRPr="00B32E93">
        <w:rPr>
          <w:rFonts w:ascii="Arial" w:eastAsia="SimSun" w:hAnsi="Arial" w:cs="Arial"/>
          <w:sz w:val="18"/>
          <w:szCs w:val="18"/>
        </w:rPr>
        <w:t>Globální a regionální zpráv</w:t>
      </w:r>
      <w:r w:rsidR="00303EB3">
        <w:rPr>
          <w:rFonts w:ascii="Arial" w:eastAsia="SimSun" w:hAnsi="Arial" w:cs="Arial"/>
          <w:sz w:val="18"/>
          <w:szCs w:val="18"/>
        </w:rPr>
        <w:t>u</w:t>
      </w:r>
      <w:r w:rsidRPr="00B32E93">
        <w:rPr>
          <w:rFonts w:ascii="Arial" w:eastAsia="SimSun" w:hAnsi="Arial" w:cs="Arial"/>
          <w:sz w:val="18"/>
          <w:szCs w:val="18"/>
        </w:rPr>
        <w:t xml:space="preserve"> pro Evropu </w:t>
      </w:r>
      <w:r>
        <w:rPr>
          <w:rFonts w:ascii="Arial" w:eastAsia="SimSun" w:hAnsi="Arial" w:cs="Arial"/>
          <w:sz w:val="18"/>
          <w:szCs w:val="18"/>
        </w:rPr>
        <w:t>naleznete zde</w:t>
      </w:r>
      <w:r w:rsidRPr="00B32E93">
        <w:rPr>
          <w:rFonts w:ascii="Arial" w:eastAsia="SimSun" w:hAnsi="Arial" w:cs="Arial"/>
          <w:sz w:val="18"/>
          <w:szCs w:val="18"/>
        </w:rPr>
        <w:t>:</w:t>
      </w:r>
    </w:p>
    <w:p w14:paraId="19B4C894" w14:textId="23AC2439" w:rsidR="00B32E93" w:rsidRDefault="00D84957" w:rsidP="00B32E93">
      <w:pPr>
        <w:rPr>
          <w:rFonts w:ascii="Arial" w:eastAsia="SimSun" w:hAnsi="Arial" w:cs="Arial"/>
          <w:sz w:val="18"/>
          <w:szCs w:val="18"/>
        </w:rPr>
      </w:pPr>
      <w:hyperlink r:id="rId11" w:history="1">
        <w:r w:rsidR="00B32E93" w:rsidRPr="007F1A98">
          <w:rPr>
            <w:rStyle w:val="Hyperlink"/>
            <w:rFonts w:ascii="Arial" w:eastAsia="SimSun" w:hAnsi="Arial" w:cs="Arial"/>
            <w:sz w:val="18"/>
            <w:szCs w:val="18"/>
          </w:rPr>
          <w:t>https://www.gbm.hsbc.com/solutions/sustainable-financing/sfi-survey-global</w:t>
        </w:r>
      </w:hyperlink>
    </w:p>
    <w:p w14:paraId="1067C7F8" w14:textId="459964D5" w:rsidR="00B32E93" w:rsidRDefault="00D84957" w:rsidP="00B32E93">
      <w:pPr>
        <w:rPr>
          <w:rFonts w:ascii="Arial" w:eastAsia="SimSun" w:hAnsi="Arial" w:cs="Arial"/>
          <w:sz w:val="18"/>
          <w:szCs w:val="18"/>
        </w:rPr>
      </w:pPr>
      <w:hyperlink r:id="rId12" w:history="1">
        <w:r w:rsidR="00B32E93" w:rsidRPr="007F1A98">
          <w:rPr>
            <w:rStyle w:val="Hyperlink"/>
            <w:rFonts w:ascii="Arial" w:eastAsia="SimSun" w:hAnsi="Arial" w:cs="Arial"/>
            <w:sz w:val="18"/>
            <w:szCs w:val="18"/>
          </w:rPr>
          <w:t>https://www.gbm.hsbc.com/solutions/sustainable-financing/sfi-survey-europe</w:t>
        </w:r>
      </w:hyperlink>
    </w:p>
    <w:p w14:paraId="493BA7E2" w14:textId="77777777" w:rsidR="00B32E93" w:rsidRDefault="00B32E93" w:rsidP="00B32E93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4441E399" w14:textId="5AECCB2F" w:rsidR="00E73FBC" w:rsidRPr="00433B62" w:rsidRDefault="00E73FBC" w:rsidP="00B32E93">
      <w:pPr>
        <w:rPr>
          <w:rFonts w:ascii="Arial" w:eastAsia="SimSun" w:hAnsi="Arial" w:cs="Arial"/>
          <w:b/>
          <w:bCs/>
          <w:sz w:val="18"/>
          <w:szCs w:val="18"/>
        </w:rPr>
      </w:pPr>
      <w:r w:rsidRPr="00433B62">
        <w:rPr>
          <w:rFonts w:ascii="Arial" w:eastAsia="SimSun" w:hAnsi="Arial" w:cs="Arial"/>
          <w:b/>
          <w:bCs/>
          <w:sz w:val="18"/>
          <w:szCs w:val="18"/>
        </w:rPr>
        <w:t xml:space="preserve">HSBC </w:t>
      </w:r>
      <w:proofErr w:type="spellStart"/>
      <w:r w:rsidRPr="00433B62">
        <w:rPr>
          <w:rFonts w:ascii="Arial" w:eastAsia="SimSun" w:hAnsi="Arial" w:cs="Arial"/>
          <w:b/>
          <w:bCs/>
          <w:sz w:val="18"/>
          <w:szCs w:val="18"/>
        </w:rPr>
        <w:t>Holdings</w:t>
      </w:r>
      <w:proofErr w:type="spellEnd"/>
      <w:r w:rsidRPr="00433B62">
        <w:rPr>
          <w:rFonts w:ascii="Arial" w:eastAsia="SimSun" w:hAnsi="Arial" w:cs="Arial"/>
          <w:b/>
          <w:bCs/>
          <w:sz w:val="18"/>
          <w:szCs w:val="18"/>
        </w:rPr>
        <w:t xml:space="preserve"> </w:t>
      </w:r>
      <w:proofErr w:type="spellStart"/>
      <w:r w:rsidRPr="00433B62">
        <w:rPr>
          <w:rFonts w:ascii="Arial" w:eastAsia="SimSun" w:hAnsi="Arial" w:cs="Arial"/>
          <w:b/>
          <w:bCs/>
          <w:sz w:val="18"/>
          <w:szCs w:val="18"/>
        </w:rPr>
        <w:t>plc</w:t>
      </w:r>
      <w:proofErr w:type="spellEnd"/>
    </w:p>
    <w:p w14:paraId="2EC54CE2" w14:textId="5FBE2368" w:rsidR="00E73FBC" w:rsidRPr="00433B62" w:rsidRDefault="00E73FBC" w:rsidP="00E73FBC">
      <w:pPr>
        <w:pStyle w:val="BodyText1"/>
        <w:rPr>
          <w:rFonts w:cs="Arial"/>
          <w:b/>
          <w:lang w:val="cs-CZ"/>
        </w:rPr>
      </w:pPr>
      <w:r w:rsidRPr="00433B62">
        <w:rPr>
          <w:rFonts w:eastAsia="SimSun" w:cs="Arial"/>
          <w:sz w:val="18"/>
          <w:szCs w:val="18"/>
          <w:lang w:val="cs-CZ" w:eastAsia="zh-CN"/>
        </w:rPr>
        <w:t xml:space="preserve">HSBC </w:t>
      </w:r>
      <w:proofErr w:type="spellStart"/>
      <w:r w:rsidRPr="00433B62">
        <w:rPr>
          <w:rFonts w:eastAsia="SimSun" w:cs="Arial"/>
          <w:sz w:val="18"/>
          <w:szCs w:val="18"/>
          <w:lang w:val="cs-CZ" w:eastAsia="zh-CN"/>
        </w:rPr>
        <w:t>Holdings</w:t>
      </w:r>
      <w:proofErr w:type="spellEnd"/>
      <w:r w:rsidRPr="00433B62">
        <w:rPr>
          <w:rFonts w:eastAsia="SimSun" w:cs="Arial"/>
          <w:sz w:val="18"/>
          <w:szCs w:val="18"/>
          <w:lang w:val="cs-CZ" w:eastAsia="zh-CN"/>
        </w:rPr>
        <w:t xml:space="preserve"> </w:t>
      </w:r>
      <w:proofErr w:type="spellStart"/>
      <w:r w:rsidRPr="00433B62">
        <w:rPr>
          <w:rFonts w:eastAsia="SimSun" w:cs="Arial"/>
          <w:sz w:val="18"/>
          <w:szCs w:val="18"/>
          <w:lang w:val="cs-CZ" w:eastAsia="zh-CN"/>
        </w:rPr>
        <w:t>plc</w:t>
      </w:r>
      <w:proofErr w:type="spellEnd"/>
      <w:r w:rsidRPr="00433B62">
        <w:rPr>
          <w:rFonts w:eastAsia="SimSun" w:cs="Arial"/>
          <w:sz w:val="18"/>
          <w:szCs w:val="18"/>
          <w:lang w:val="cs-CZ" w:eastAsia="zh-CN"/>
        </w:rPr>
        <w:t>, mateřská společnost skupiny HSBC, má sídlo v Londýně. HSBC poskytuje své služby zákazníkům po celém světě s pobočkami v 64 zemích a teritoriích v těchto oblastech: Evropa, Asie, Severní Amerika, Latinská Amerika, Blízký východ a severní Afrika. S aktivy ve výši 2,923 miliardy USD k 30.</w:t>
      </w:r>
      <w:r w:rsidR="00303EB3">
        <w:rPr>
          <w:rFonts w:eastAsia="SimSun" w:cs="Arial"/>
          <w:sz w:val="18"/>
          <w:szCs w:val="18"/>
          <w:lang w:val="cs-CZ" w:eastAsia="zh-CN"/>
        </w:rPr>
        <w:t> </w:t>
      </w:r>
      <w:r w:rsidRPr="00433B62">
        <w:rPr>
          <w:rFonts w:eastAsia="SimSun" w:cs="Arial"/>
          <w:sz w:val="18"/>
          <w:szCs w:val="18"/>
          <w:lang w:val="cs-CZ" w:eastAsia="zh-CN"/>
        </w:rPr>
        <w:t>červnu 2020 je HSBC jednou z největších světových organizací poskytujících bankovní a finanční služby.</w:t>
      </w:r>
    </w:p>
    <w:p w14:paraId="62234DF2" w14:textId="77777777" w:rsidR="00E73FBC" w:rsidRPr="00433B62" w:rsidRDefault="00E73FBC" w:rsidP="00E73FBC">
      <w:pPr>
        <w:pStyle w:val="BodyText1"/>
        <w:rPr>
          <w:rFonts w:cs="Arial"/>
          <w:b/>
          <w:lang w:val="cs-CZ"/>
        </w:rPr>
      </w:pPr>
    </w:p>
    <w:p w14:paraId="5C26E3CB" w14:textId="2E2B0A96" w:rsidR="00AB4FE4" w:rsidRPr="00433B62" w:rsidRDefault="00AB4FE4" w:rsidP="00E73FBC">
      <w:pPr>
        <w:pStyle w:val="Default"/>
        <w:rPr>
          <w:color w:val="auto"/>
          <w:sz w:val="18"/>
          <w:szCs w:val="18"/>
          <w:lang w:val="cs-CZ"/>
        </w:rPr>
      </w:pPr>
    </w:p>
    <w:sectPr w:rsidR="00AB4FE4" w:rsidRPr="00433B62" w:rsidSect="00466421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E9AE" w14:textId="77777777" w:rsidR="00D84957" w:rsidRDefault="00D84957">
      <w:r>
        <w:separator/>
      </w:r>
    </w:p>
  </w:endnote>
  <w:endnote w:type="continuationSeparator" w:id="0">
    <w:p w14:paraId="44FC67E2" w14:textId="77777777" w:rsidR="00D84957" w:rsidRDefault="00D8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Univers Next for HSBC Light">
    <w:altName w:val="Calibri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Next for HSBC Regular">
    <w:altName w:val="Calibri"/>
    <w:panose1 w:val="020B06040202020202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3365" w14:textId="77777777" w:rsidR="00045A78" w:rsidRDefault="00B90CB3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00427" wp14:editId="4FFC0543">
              <wp:simplePos x="0" y="0"/>
              <wp:positionH relativeFrom="column">
                <wp:posOffset>2737485</wp:posOffset>
              </wp:positionH>
              <wp:positionV relativeFrom="paragraph">
                <wp:posOffset>-146050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469C" w14:textId="77777777" w:rsidR="00466421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HSBC FRANCE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jednající prostřednictvím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HSBC </w:t>
                          </w:r>
                          <w:r w:rsidR="00466421" w:rsidRPr="00D836CD">
                            <w:rPr>
                              <w:b/>
                              <w:sz w:val="14"/>
                              <w:szCs w:val="14"/>
                            </w:rPr>
                            <w:t>France – pobočka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Praha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Na Florenci 2116/15, Nové Město, 110 </w:t>
                          </w:r>
                          <w:r w:rsidR="00466421" w:rsidRPr="00D836CD">
                            <w:rPr>
                              <w:sz w:val="14"/>
                              <w:szCs w:val="14"/>
                            </w:rPr>
                            <w:t>00 Praha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 1, Česká republika, </w:t>
                          </w:r>
                        </w:p>
                        <w:p w14:paraId="0538C4D7" w14:textId="61775634" w:rsidR="006556D4" w:rsidRPr="00D836CD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IČ: 07482728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Tel.: (+420) 225 024 555, </w:t>
                          </w:r>
                          <w:r w:rsidR="00FC04A8"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ax: (+420) 225 024 550, www.hsbc.cz</w:t>
                          </w:r>
                        </w:p>
                        <w:p w14:paraId="6DE415D7" w14:textId="3A32E9A0" w:rsidR="00045A78" w:rsidRPr="00466421" w:rsidRDefault="006556D4" w:rsidP="00466421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</w:rPr>
                          </w:pP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HSBC </w:t>
                          </w:r>
                          <w:r w:rsidR="00466421"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France – pobočka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Praha zapsaná v obchodním rejstříku vedeném Městským soudem v Praze, oddíl A, vložka 78901, jako pobočka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br/>
                            <w:t>HSBC FRANCE (registrační číslo 775 670</w:t>
                          </w:r>
                          <w:r w:rsidRPr="00A133D4">
                            <w:rPr>
                              <w:rFonts w:ascii="Univers Next for HSBC Regular" w:eastAsia="MS Mincho" w:hAnsi="Univers Next for HSBC Regular" w:cs="Arial"/>
                              <w:i/>
                              <w:color w:val="000000"/>
                              <w:sz w:val="14"/>
                              <w:szCs w:val="14"/>
                            </w:rPr>
                            <w:t xml:space="preserve"> 284 RCS Paris),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se sídlem 103, avenue des </w:t>
                          </w:r>
                          <w:proofErr w:type="spellStart"/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Champs-</w:t>
                          </w:r>
                          <w:r w:rsidR="00FC04A8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É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lysées</w:t>
                          </w:r>
                          <w:proofErr w:type="spellEnd"/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, 75008 Paříž, Francie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BD0A91B">
            <v:shapetype id="_x0000_t202" coordsize="21600,21600" o:spt="202" path="m,l,21600r21600,l21600,xe" w14:anchorId="20900427">
              <v:stroke joinstyle="miter"/>
              <v:path gradientshapeok="t" o:connecttype="rect"/>
            </v:shapetype>
            <v:shape id="Text Box 2" style="position:absolute;margin-left:215.55pt;margin-top:-11.5pt;width:234.3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">
              <v:path arrowok="t"/>
              <v:textbox>
                <w:txbxContent>
                  <w:p w:rsidR="00466421" w:rsidP="006556D4" w:rsidRDefault="006556D4" w14:paraId="586FD232" w14:textId="77777777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b/>
                        <w:sz w:val="14"/>
                        <w:szCs w:val="14"/>
                      </w:rPr>
                      <w:t xml:space="preserve">HSBC FRANCE </w:t>
                    </w:r>
                    <w:r w:rsidRPr="00D836CD">
                      <w:rPr>
                        <w:sz w:val="14"/>
                        <w:szCs w:val="14"/>
                      </w:rPr>
                      <w:t>jednající prostřednictvím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HSBC </w:t>
                    </w:r>
                    <w:r w:rsidRPr="00D836CD" w:rsidR="00466421">
                      <w:rPr>
                        <w:b/>
                        <w:sz w:val="14"/>
                        <w:szCs w:val="14"/>
                      </w:rPr>
                      <w:t>France – pobočka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Praha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</w:r>
                    <w:r w:rsidRPr="00D836CD">
                      <w:rPr>
                        <w:sz w:val="14"/>
                        <w:szCs w:val="14"/>
                      </w:rPr>
                      <w:t xml:space="preserve">Na Florenci 2116/15, Nové Město, 110 </w:t>
                    </w:r>
                    <w:r w:rsidRPr="00D836CD" w:rsidR="00466421">
                      <w:rPr>
                        <w:sz w:val="14"/>
                        <w:szCs w:val="14"/>
                      </w:rPr>
                      <w:t>00 Praha</w:t>
                    </w:r>
                    <w:r w:rsidRPr="00D836CD">
                      <w:rPr>
                        <w:sz w:val="14"/>
                        <w:szCs w:val="14"/>
                      </w:rPr>
                      <w:t xml:space="preserve"> 1, Česká republika, </w:t>
                    </w:r>
                  </w:p>
                  <w:p w:rsidRPr="00D836CD" w:rsidR="006556D4" w:rsidP="006556D4" w:rsidRDefault="006556D4" w14:paraId="639F15E7" w14:textId="6177563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sz w:val="14"/>
                        <w:szCs w:val="14"/>
                      </w:rPr>
                      <w:t xml:space="preserve">IČ: 07482728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</w:r>
                    <w:r w:rsidRPr="00D836CD">
                      <w:rPr>
                        <w:sz w:val="14"/>
                        <w:szCs w:val="14"/>
                      </w:rPr>
                      <w:t xml:space="preserve">Tel.: (+420) 225 024 555, </w:t>
                    </w:r>
                    <w:r w:rsidR="00FC04A8">
                      <w:rPr>
                        <w:sz w:val="14"/>
                        <w:szCs w:val="14"/>
                      </w:rPr>
                      <w:t>f</w:t>
                    </w:r>
                    <w:r w:rsidRPr="00D836CD">
                      <w:rPr>
                        <w:sz w:val="14"/>
                        <w:szCs w:val="14"/>
                      </w:rPr>
                      <w:t>ax: (+420) 225 024 550, www.hsbc.cz</w:t>
                    </w:r>
                  </w:p>
                  <w:p w:rsidRPr="00466421" w:rsidR="00045A78" w:rsidP="00466421" w:rsidRDefault="006556D4" w14:paraId="0143F5C6" w14:textId="3A32E9A0">
                    <w:pPr>
                      <w:pStyle w:val="Footer"/>
                      <w:rPr>
                        <w:rFonts w:ascii="Univers Next for HSBC Regular" w:hAnsi="Univers Next for HSBC Regular" w:cs="Arial"/>
                      </w:rPr>
                    </w:pP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HSBC </w:t>
                    </w:r>
                    <w:r w:rsidRPr="00A133D4" w:rsidR="00466421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France – pobočka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Praha zapsaná v obchodním rejstříku vedeném Městským soudem v Praze, oddíl A, vložka 78901, jako pobočka 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br/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HSBC FRANCE (registrační číslo 775 670</w:t>
                    </w:r>
                    <w:r w:rsidRPr="00A133D4">
                      <w:rPr>
                        <w:rFonts w:ascii="Univers Next for HSBC Regular" w:hAnsi="Univers Next for HSBC Regular" w:eastAsia="MS Mincho" w:cs="Arial"/>
                        <w:i/>
                        <w:color w:val="000000"/>
                        <w:sz w:val="14"/>
                        <w:szCs w:val="14"/>
                      </w:rPr>
                      <w:t xml:space="preserve"> 284 RCS Paris),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se sídlem 103, avenue des </w:t>
                    </w:r>
                    <w:proofErr w:type="spellStart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Champs-</w:t>
                    </w:r>
                    <w:r w:rsidR="00FC04A8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É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lysées</w:t>
                    </w:r>
                    <w:proofErr w:type="spellEnd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, 75008 Paříž, Francie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262C4EB" wp14:editId="72291C39">
              <wp:simplePos x="0" y="0"/>
              <wp:positionH relativeFrom="column">
                <wp:posOffset>-26670</wp:posOffset>
              </wp:positionH>
              <wp:positionV relativeFrom="paragraph">
                <wp:posOffset>-121920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9414" w14:textId="77777777" w:rsidR="00045A78" w:rsidRDefault="00045A78" w:rsidP="00140EF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0B5C8727" w14:textId="77777777" w:rsidR="00045A78" w:rsidRDefault="006556D4" w:rsidP="00140EF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HSBC France – pobočka 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77D6D7B">
            <v:shape id="Text Box 1" style="position:absolute;margin-left:-2.1pt;margin-top:-9.6pt;width:128.05pt;height:38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" w14:anchorId="1262C4EB">
              <v:fill opacity="0"/>
              <v:path arrowok="t"/>
              <v:textbox inset="0,0,0,0">
                <w:txbxContent>
                  <w:p w:rsidR="00045A78" w:rsidP="00140EF7" w:rsidRDefault="00045A78" w14:paraId="571E554C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:rsidR="00045A78" w:rsidP="00140EF7" w:rsidRDefault="006556D4" w14:paraId="6B3C4089" w14:textId="7777777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HSBC France – pobočka Praha</w:t>
                    </w:r>
                  </w:p>
                </w:txbxContent>
              </v:textbox>
            </v:shape>
          </w:pict>
        </mc:Fallback>
      </mc:AlternateConten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ECA7" w14:textId="77777777" w:rsidR="00D84957" w:rsidRDefault="00D84957">
      <w:r>
        <w:separator/>
      </w:r>
    </w:p>
  </w:footnote>
  <w:footnote w:type="continuationSeparator" w:id="0">
    <w:p w14:paraId="7EC25948" w14:textId="77777777" w:rsidR="00D84957" w:rsidRDefault="00D8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&#13;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D658EF3">
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50.15pt,58.15pt" to="450.15pt,792.55pt" w14:anchorId="625AA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hybridMultilevel"/>
    <w:tmpl w:val="57C220B2"/>
    <w:lvl w:ilvl="0" w:tplc="D1006C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4B6A99A">
      <w:numFmt w:val="decimal"/>
      <w:lvlText w:val=""/>
      <w:lvlJc w:val="left"/>
    </w:lvl>
    <w:lvl w:ilvl="2" w:tplc="FB36F69A">
      <w:numFmt w:val="decimal"/>
      <w:lvlText w:val=""/>
      <w:lvlJc w:val="left"/>
    </w:lvl>
    <w:lvl w:ilvl="3" w:tplc="12E2DDFE">
      <w:numFmt w:val="decimal"/>
      <w:lvlText w:val=""/>
      <w:lvlJc w:val="left"/>
    </w:lvl>
    <w:lvl w:ilvl="4" w:tplc="EAD46122">
      <w:numFmt w:val="decimal"/>
      <w:lvlText w:val=""/>
      <w:lvlJc w:val="left"/>
    </w:lvl>
    <w:lvl w:ilvl="5" w:tplc="D730064A">
      <w:numFmt w:val="decimal"/>
      <w:lvlText w:val=""/>
      <w:lvlJc w:val="left"/>
    </w:lvl>
    <w:lvl w:ilvl="6" w:tplc="95DEE484">
      <w:numFmt w:val="decimal"/>
      <w:lvlText w:val=""/>
      <w:lvlJc w:val="left"/>
    </w:lvl>
    <w:lvl w:ilvl="7" w:tplc="5E22D4D0">
      <w:numFmt w:val="decimal"/>
      <w:lvlText w:val=""/>
      <w:lvlJc w:val="left"/>
    </w:lvl>
    <w:lvl w:ilvl="8" w:tplc="E9ECBC1E">
      <w:numFmt w:val="decimal"/>
      <w:lvlText w:val=""/>
      <w:lvlJc w:val="left"/>
    </w:lvl>
  </w:abstractNum>
  <w:abstractNum w:abstractNumId="19" w15:restartNumberingAfterBreak="0">
    <w:nsid w:val="21766884"/>
    <w:multiLevelType w:val="hybridMultilevel"/>
    <w:tmpl w:val="CDC82E9A"/>
    <w:lvl w:ilvl="0" w:tplc="AE962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AC93AA">
      <w:numFmt w:val="decimal"/>
      <w:lvlText w:val=""/>
      <w:lvlJc w:val="left"/>
    </w:lvl>
    <w:lvl w:ilvl="2" w:tplc="4DE47DCE">
      <w:numFmt w:val="decimal"/>
      <w:lvlText w:val=""/>
      <w:lvlJc w:val="left"/>
    </w:lvl>
    <w:lvl w:ilvl="3" w:tplc="C29424B2">
      <w:numFmt w:val="decimal"/>
      <w:lvlText w:val=""/>
      <w:lvlJc w:val="left"/>
    </w:lvl>
    <w:lvl w:ilvl="4" w:tplc="042A33B8">
      <w:numFmt w:val="decimal"/>
      <w:lvlText w:val=""/>
      <w:lvlJc w:val="left"/>
    </w:lvl>
    <w:lvl w:ilvl="5" w:tplc="8020BBFA">
      <w:numFmt w:val="decimal"/>
      <w:lvlText w:val=""/>
      <w:lvlJc w:val="left"/>
    </w:lvl>
    <w:lvl w:ilvl="6" w:tplc="09903F62">
      <w:numFmt w:val="decimal"/>
      <w:lvlText w:val=""/>
      <w:lvlJc w:val="left"/>
    </w:lvl>
    <w:lvl w:ilvl="7" w:tplc="188625C4">
      <w:numFmt w:val="decimal"/>
      <w:lvlText w:val=""/>
      <w:lvlJc w:val="left"/>
    </w:lvl>
    <w:lvl w:ilvl="8" w:tplc="162A9276">
      <w:numFmt w:val="decimal"/>
      <w:lvlText w:val=""/>
      <w:lvlJc w:val="left"/>
    </w:lvl>
  </w:abstractNum>
  <w:abstractNum w:abstractNumId="20" w15:restartNumberingAfterBreak="0">
    <w:nsid w:val="21B14E92"/>
    <w:multiLevelType w:val="hybridMultilevel"/>
    <w:tmpl w:val="ED6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25FA7"/>
    <w:multiLevelType w:val="hybridMultilevel"/>
    <w:tmpl w:val="C6727E20"/>
    <w:lvl w:ilvl="0" w:tplc="15D0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6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D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E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E2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A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9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07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01787"/>
    <w:multiLevelType w:val="hybridMultilevel"/>
    <w:tmpl w:val="08090001"/>
    <w:lvl w:ilvl="0" w:tplc="C1080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DC67D4">
      <w:numFmt w:val="decimal"/>
      <w:lvlText w:val=""/>
      <w:lvlJc w:val="left"/>
    </w:lvl>
    <w:lvl w:ilvl="2" w:tplc="CABC17EE">
      <w:numFmt w:val="decimal"/>
      <w:lvlText w:val=""/>
      <w:lvlJc w:val="left"/>
    </w:lvl>
    <w:lvl w:ilvl="3" w:tplc="631249AC">
      <w:numFmt w:val="decimal"/>
      <w:lvlText w:val=""/>
      <w:lvlJc w:val="left"/>
    </w:lvl>
    <w:lvl w:ilvl="4" w:tplc="A7807372">
      <w:numFmt w:val="decimal"/>
      <w:lvlText w:val=""/>
      <w:lvlJc w:val="left"/>
    </w:lvl>
    <w:lvl w:ilvl="5" w:tplc="37D693A2">
      <w:numFmt w:val="decimal"/>
      <w:lvlText w:val=""/>
      <w:lvlJc w:val="left"/>
    </w:lvl>
    <w:lvl w:ilvl="6" w:tplc="2474F0D8">
      <w:numFmt w:val="decimal"/>
      <w:lvlText w:val=""/>
      <w:lvlJc w:val="left"/>
    </w:lvl>
    <w:lvl w:ilvl="7" w:tplc="1B0C075C">
      <w:numFmt w:val="decimal"/>
      <w:lvlText w:val=""/>
      <w:lvlJc w:val="left"/>
    </w:lvl>
    <w:lvl w:ilvl="8" w:tplc="D5FCE2B4">
      <w:numFmt w:val="decimal"/>
      <w:lvlText w:val=""/>
      <w:lvlJc w:val="left"/>
    </w:lvl>
  </w:abstractNum>
  <w:abstractNum w:abstractNumId="28" w15:restartNumberingAfterBreak="0">
    <w:nsid w:val="3993718C"/>
    <w:multiLevelType w:val="hybridMultilevel"/>
    <w:tmpl w:val="9C98F6F4"/>
    <w:lvl w:ilvl="0" w:tplc="9C5C1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802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3C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400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FCF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A2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8E6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4C5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6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9C37F2"/>
    <w:multiLevelType w:val="hybridMultilevel"/>
    <w:tmpl w:val="D7ECFF32"/>
    <w:lvl w:ilvl="0" w:tplc="9DD0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73D89CDC">
      <w:numFmt w:val="decimal"/>
      <w:lvlText w:val=""/>
      <w:lvlJc w:val="left"/>
    </w:lvl>
    <w:lvl w:ilvl="2" w:tplc="401E456C">
      <w:numFmt w:val="decimal"/>
      <w:lvlText w:val=""/>
      <w:lvlJc w:val="left"/>
    </w:lvl>
    <w:lvl w:ilvl="3" w:tplc="9C748FC4">
      <w:numFmt w:val="decimal"/>
      <w:lvlText w:val=""/>
      <w:lvlJc w:val="left"/>
    </w:lvl>
    <w:lvl w:ilvl="4" w:tplc="FDE25520">
      <w:numFmt w:val="decimal"/>
      <w:lvlText w:val=""/>
      <w:lvlJc w:val="left"/>
    </w:lvl>
    <w:lvl w:ilvl="5" w:tplc="28302ECC">
      <w:numFmt w:val="decimal"/>
      <w:lvlText w:val=""/>
      <w:lvlJc w:val="left"/>
    </w:lvl>
    <w:lvl w:ilvl="6" w:tplc="9A3ED074">
      <w:numFmt w:val="decimal"/>
      <w:lvlText w:val=""/>
      <w:lvlJc w:val="left"/>
    </w:lvl>
    <w:lvl w:ilvl="7" w:tplc="922C4392">
      <w:numFmt w:val="decimal"/>
      <w:lvlText w:val=""/>
      <w:lvlJc w:val="left"/>
    </w:lvl>
    <w:lvl w:ilvl="8" w:tplc="B50E5528">
      <w:numFmt w:val="decimal"/>
      <w:lvlText w:val=""/>
      <w:lvlJc w:val="left"/>
    </w:lvl>
  </w:abstractNum>
  <w:abstractNum w:abstractNumId="30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1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0389"/>
    <w:multiLevelType w:val="hybridMultilevel"/>
    <w:tmpl w:val="BF968F7A"/>
    <w:lvl w:ilvl="0" w:tplc="2E8E8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D8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9C2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90C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6F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C8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74A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A89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844E82"/>
    <w:multiLevelType w:val="hybridMultilevel"/>
    <w:tmpl w:val="98825AE0"/>
    <w:lvl w:ilvl="0" w:tplc="15F23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580EF12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 w:tplc="43C2DD68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 w:tplc="A15A9D30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 w:tplc="B4300198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 w:tplc="8A86C274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 w:tplc="92508ACC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 w:tplc="1A2C8876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 w:tplc="8E22299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7"/>
  </w:num>
  <w:num w:numId="17">
    <w:abstractNumId w:val="25"/>
  </w:num>
  <w:num w:numId="18">
    <w:abstractNumId w:val="31"/>
  </w:num>
  <w:num w:numId="19">
    <w:abstractNumId w:val="32"/>
  </w:num>
  <w:num w:numId="20">
    <w:abstractNumId w:val="21"/>
  </w:num>
  <w:num w:numId="21">
    <w:abstractNumId w:val="38"/>
  </w:num>
  <w:num w:numId="22">
    <w:abstractNumId w:val="37"/>
  </w:num>
  <w:num w:numId="23">
    <w:abstractNumId w:val="15"/>
  </w:num>
  <w:num w:numId="24">
    <w:abstractNumId w:val="36"/>
  </w:num>
  <w:num w:numId="25">
    <w:abstractNumId w:val="28"/>
  </w:num>
  <w:num w:numId="26">
    <w:abstractNumId w:val="22"/>
  </w:num>
  <w:num w:numId="27">
    <w:abstractNumId w:val="17"/>
  </w:num>
  <w:num w:numId="28">
    <w:abstractNumId w:val="33"/>
  </w:num>
  <w:num w:numId="29">
    <w:abstractNumId w:val="23"/>
  </w:num>
  <w:num w:numId="30">
    <w:abstractNumId w:val="39"/>
  </w:num>
  <w:num w:numId="31">
    <w:abstractNumId w:val="0"/>
  </w:num>
  <w:num w:numId="32">
    <w:abstractNumId w:val="11"/>
  </w:num>
  <w:num w:numId="33">
    <w:abstractNumId w:val="12"/>
  </w:num>
  <w:num w:numId="34">
    <w:abstractNumId w:val="34"/>
  </w:num>
  <w:num w:numId="35">
    <w:abstractNumId w:val="24"/>
  </w:num>
  <w:num w:numId="36">
    <w:abstractNumId w:val="30"/>
  </w:num>
  <w:num w:numId="37">
    <w:abstractNumId w:val="16"/>
  </w:num>
  <w:num w:numId="38">
    <w:abstractNumId w:val="26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327FC"/>
    <w:rsid w:val="00040114"/>
    <w:rsid w:val="000404E3"/>
    <w:rsid w:val="00043576"/>
    <w:rsid w:val="00043A91"/>
    <w:rsid w:val="00045A78"/>
    <w:rsid w:val="00050918"/>
    <w:rsid w:val="00050C0D"/>
    <w:rsid w:val="00051E2E"/>
    <w:rsid w:val="000533E1"/>
    <w:rsid w:val="00056152"/>
    <w:rsid w:val="00056B56"/>
    <w:rsid w:val="00062FD3"/>
    <w:rsid w:val="00063795"/>
    <w:rsid w:val="0007185F"/>
    <w:rsid w:val="000748E4"/>
    <w:rsid w:val="00074FCA"/>
    <w:rsid w:val="00076148"/>
    <w:rsid w:val="0008282B"/>
    <w:rsid w:val="00084772"/>
    <w:rsid w:val="00085CF4"/>
    <w:rsid w:val="0009527C"/>
    <w:rsid w:val="000A22A9"/>
    <w:rsid w:val="000A4CEB"/>
    <w:rsid w:val="000A5D6C"/>
    <w:rsid w:val="000A6627"/>
    <w:rsid w:val="000A6CDA"/>
    <w:rsid w:val="000B34E1"/>
    <w:rsid w:val="000B4734"/>
    <w:rsid w:val="000B4AA0"/>
    <w:rsid w:val="000B4C00"/>
    <w:rsid w:val="000B6CF4"/>
    <w:rsid w:val="000C232E"/>
    <w:rsid w:val="000D60F0"/>
    <w:rsid w:val="0010313C"/>
    <w:rsid w:val="001042A8"/>
    <w:rsid w:val="00106E3C"/>
    <w:rsid w:val="0010777C"/>
    <w:rsid w:val="001116C9"/>
    <w:rsid w:val="00113287"/>
    <w:rsid w:val="001153A2"/>
    <w:rsid w:val="001176C9"/>
    <w:rsid w:val="001311D8"/>
    <w:rsid w:val="001319FB"/>
    <w:rsid w:val="00131A88"/>
    <w:rsid w:val="00140EF7"/>
    <w:rsid w:val="0014205F"/>
    <w:rsid w:val="00143F5A"/>
    <w:rsid w:val="00154742"/>
    <w:rsid w:val="001548FC"/>
    <w:rsid w:val="0016144F"/>
    <w:rsid w:val="00165577"/>
    <w:rsid w:val="0016564C"/>
    <w:rsid w:val="00165D4F"/>
    <w:rsid w:val="001718CD"/>
    <w:rsid w:val="00171E0E"/>
    <w:rsid w:val="00172201"/>
    <w:rsid w:val="00173542"/>
    <w:rsid w:val="0017579C"/>
    <w:rsid w:val="00175AFA"/>
    <w:rsid w:val="00176930"/>
    <w:rsid w:val="00180119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B30E7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42F3"/>
    <w:rsid w:val="0024301C"/>
    <w:rsid w:val="002435CD"/>
    <w:rsid w:val="00247475"/>
    <w:rsid w:val="00250A87"/>
    <w:rsid w:val="002537C9"/>
    <w:rsid w:val="00257BC0"/>
    <w:rsid w:val="002600DF"/>
    <w:rsid w:val="00263904"/>
    <w:rsid w:val="00267764"/>
    <w:rsid w:val="002701CC"/>
    <w:rsid w:val="00277974"/>
    <w:rsid w:val="0028023D"/>
    <w:rsid w:val="002806CA"/>
    <w:rsid w:val="00290ED5"/>
    <w:rsid w:val="00290F92"/>
    <w:rsid w:val="002946CE"/>
    <w:rsid w:val="00294D42"/>
    <w:rsid w:val="002A5C2E"/>
    <w:rsid w:val="002B223B"/>
    <w:rsid w:val="002B3285"/>
    <w:rsid w:val="002C25B7"/>
    <w:rsid w:val="002C3316"/>
    <w:rsid w:val="002C5938"/>
    <w:rsid w:val="002D1556"/>
    <w:rsid w:val="002D243D"/>
    <w:rsid w:val="002D5BCF"/>
    <w:rsid w:val="002D6583"/>
    <w:rsid w:val="002E2020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3EB3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27E4"/>
    <w:rsid w:val="003343FE"/>
    <w:rsid w:val="00334A2C"/>
    <w:rsid w:val="00336230"/>
    <w:rsid w:val="00343B74"/>
    <w:rsid w:val="00345652"/>
    <w:rsid w:val="00346EB2"/>
    <w:rsid w:val="00351280"/>
    <w:rsid w:val="00351F98"/>
    <w:rsid w:val="00352407"/>
    <w:rsid w:val="00353502"/>
    <w:rsid w:val="003536DF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A6624"/>
    <w:rsid w:val="003A7B8B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3B62"/>
    <w:rsid w:val="00434524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7570"/>
    <w:rsid w:val="00467D42"/>
    <w:rsid w:val="004740B5"/>
    <w:rsid w:val="00474B89"/>
    <w:rsid w:val="004819B7"/>
    <w:rsid w:val="00487A10"/>
    <w:rsid w:val="00494B61"/>
    <w:rsid w:val="00497A96"/>
    <w:rsid w:val="004A04F2"/>
    <w:rsid w:val="004A1ECF"/>
    <w:rsid w:val="004A27D8"/>
    <w:rsid w:val="004A510E"/>
    <w:rsid w:val="004A6DA2"/>
    <w:rsid w:val="004A7B12"/>
    <w:rsid w:val="004B5631"/>
    <w:rsid w:val="004C0907"/>
    <w:rsid w:val="004C135C"/>
    <w:rsid w:val="004C3658"/>
    <w:rsid w:val="004C4553"/>
    <w:rsid w:val="004C5178"/>
    <w:rsid w:val="004C5F66"/>
    <w:rsid w:val="004D59B1"/>
    <w:rsid w:val="004D61EE"/>
    <w:rsid w:val="004D6BC4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15A39"/>
    <w:rsid w:val="00520607"/>
    <w:rsid w:val="00521F1C"/>
    <w:rsid w:val="00522E8F"/>
    <w:rsid w:val="005273AA"/>
    <w:rsid w:val="00527EFC"/>
    <w:rsid w:val="0053095A"/>
    <w:rsid w:val="00531A77"/>
    <w:rsid w:val="00534070"/>
    <w:rsid w:val="005409C6"/>
    <w:rsid w:val="00541FF8"/>
    <w:rsid w:val="0054404D"/>
    <w:rsid w:val="00545BFA"/>
    <w:rsid w:val="00546743"/>
    <w:rsid w:val="0055434B"/>
    <w:rsid w:val="0055707B"/>
    <w:rsid w:val="005578B2"/>
    <w:rsid w:val="00563582"/>
    <w:rsid w:val="0056618D"/>
    <w:rsid w:val="00574221"/>
    <w:rsid w:val="00586FA5"/>
    <w:rsid w:val="00592DF3"/>
    <w:rsid w:val="005932FE"/>
    <w:rsid w:val="00596E91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40A4C"/>
    <w:rsid w:val="00650A8B"/>
    <w:rsid w:val="006547DA"/>
    <w:rsid w:val="006556D4"/>
    <w:rsid w:val="006561F9"/>
    <w:rsid w:val="00657C28"/>
    <w:rsid w:val="00661098"/>
    <w:rsid w:val="006635C0"/>
    <w:rsid w:val="00664EC6"/>
    <w:rsid w:val="006666D9"/>
    <w:rsid w:val="0067233F"/>
    <w:rsid w:val="006750EF"/>
    <w:rsid w:val="00675D1E"/>
    <w:rsid w:val="00687E5B"/>
    <w:rsid w:val="006973BF"/>
    <w:rsid w:val="006A175B"/>
    <w:rsid w:val="006A43D7"/>
    <w:rsid w:val="006A46B4"/>
    <w:rsid w:val="006A5107"/>
    <w:rsid w:val="006A7C0D"/>
    <w:rsid w:val="006B0097"/>
    <w:rsid w:val="006B5B3B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FAA"/>
    <w:rsid w:val="006F2973"/>
    <w:rsid w:val="006F4986"/>
    <w:rsid w:val="006F7497"/>
    <w:rsid w:val="00703DE3"/>
    <w:rsid w:val="00703F6B"/>
    <w:rsid w:val="007060A7"/>
    <w:rsid w:val="007105F5"/>
    <w:rsid w:val="007223BD"/>
    <w:rsid w:val="007258E3"/>
    <w:rsid w:val="00726D4F"/>
    <w:rsid w:val="00727B68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506C"/>
    <w:rsid w:val="007550BE"/>
    <w:rsid w:val="00755B9C"/>
    <w:rsid w:val="00757CA7"/>
    <w:rsid w:val="00763C5F"/>
    <w:rsid w:val="0076496B"/>
    <w:rsid w:val="0076558E"/>
    <w:rsid w:val="00766D16"/>
    <w:rsid w:val="0077569D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0349"/>
    <w:rsid w:val="00803503"/>
    <w:rsid w:val="00803D4E"/>
    <w:rsid w:val="00804137"/>
    <w:rsid w:val="008068C6"/>
    <w:rsid w:val="008107B6"/>
    <w:rsid w:val="0081252E"/>
    <w:rsid w:val="008129C6"/>
    <w:rsid w:val="00815841"/>
    <w:rsid w:val="0081613B"/>
    <w:rsid w:val="00816DEF"/>
    <w:rsid w:val="00821744"/>
    <w:rsid w:val="00825DC5"/>
    <w:rsid w:val="00831B37"/>
    <w:rsid w:val="00834BBF"/>
    <w:rsid w:val="00843B3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B3A53"/>
    <w:rsid w:val="008B3C71"/>
    <w:rsid w:val="008B40F2"/>
    <w:rsid w:val="008B76A9"/>
    <w:rsid w:val="008B7767"/>
    <w:rsid w:val="008B7D9D"/>
    <w:rsid w:val="008C33D2"/>
    <w:rsid w:val="008C6C9C"/>
    <w:rsid w:val="008C7A97"/>
    <w:rsid w:val="008D1230"/>
    <w:rsid w:val="008D28F9"/>
    <w:rsid w:val="008D438C"/>
    <w:rsid w:val="008D5423"/>
    <w:rsid w:val="008D5BAE"/>
    <w:rsid w:val="008D7D63"/>
    <w:rsid w:val="008E184E"/>
    <w:rsid w:val="008E5F91"/>
    <w:rsid w:val="008F1381"/>
    <w:rsid w:val="008F2B1A"/>
    <w:rsid w:val="008F49BA"/>
    <w:rsid w:val="00900451"/>
    <w:rsid w:val="009028A3"/>
    <w:rsid w:val="00904A13"/>
    <w:rsid w:val="009123A6"/>
    <w:rsid w:val="00915B87"/>
    <w:rsid w:val="00920AD6"/>
    <w:rsid w:val="00934BCA"/>
    <w:rsid w:val="00934CBB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57866"/>
    <w:rsid w:val="00961B94"/>
    <w:rsid w:val="00962AD9"/>
    <w:rsid w:val="0096546D"/>
    <w:rsid w:val="009669F5"/>
    <w:rsid w:val="00970775"/>
    <w:rsid w:val="00973EFC"/>
    <w:rsid w:val="0097449F"/>
    <w:rsid w:val="00977FBE"/>
    <w:rsid w:val="009804CE"/>
    <w:rsid w:val="009817C8"/>
    <w:rsid w:val="009829C2"/>
    <w:rsid w:val="0098779A"/>
    <w:rsid w:val="00990647"/>
    <w:rsid w:val="00991A66"/>
    <w:rsid w:val="00992EB5"/>
    <w:rsid w:val="009A577B"/>
    <w:rsid w:val="009A6F85"/>
    <w:rsid w:val="009A7A18"/>
    <w:rsid w:val="009B007E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07624"/>
    <w:rsid w:val="00A12745"/>
    <w:rsid w:val="00A13413"/>
    <w:rsid w:val="00A15C21"/>
    <w:rsid w:val="00A17CFB"/>
    <w:rsid w:val="00A31088"/>
    <w:rsid w:val="00A316CC"/>
    <w:rsid w:val="00A31FAB"/>
    <w:rsid w:val="00A35E5C"/>
    <w:rsid w:val="00A361F1"/>
    <w:rsid w:val="00A43A44"/>
    <w:rsid w:val="00A466C0"/>
    <w:rsid w:val="00A476B1"/>
    <w:rsid w:val="00A511A2"/>
    <w:rsid w:val="00A51A1D"/>
    <w:rsid w:val="00A53CBD"/>
    <w:rsid w:val="00A55858"/>
    <w:rsid w:val="00A63E7E"/>
    <w:rsid w:val="00A659C7"/>
    <w:rsid w:val="00A66A9A"/>
    <w:rsid w:val="00A72171"/>
    <w:rsid w:val="00A741AA"/>
    <w:rsid w:val="00A7523E"/>
    <w:rsid w:val="00A76B09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B74CF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3F1C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2E93"/>
    <w:rsid w:val="00B33854"/>
    <w:rsid w:val="00B36CC1"/>
    <w:rsid w:val="00B3739B"/>
    <w:rsid w:val="00B479E4"/>
    <w:rsid w:val="00B47B7A"/>
    <w:rsid w:val="00B52370"/>
    <w:rsid w:val="00B5238A"/>
    <w:rsid w:val="00B53AD7"/>
    <w:rsid w:val="00B559E6"/>
    <w:rsid w:val="00B61086"/>
    <w:rsid w:val="00B6427C"/>
    <w:rsid w:val="00B67979"/>
    <w:rsid w:val="00B72AF1"/>
    <w:rsid w:val="00B73D29"/>
    <w:rsid w:val="00B74576"/>
    <w:rsid w:val="00B7719C"/>
    <w:rsid w:val="00B80148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6895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30F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1729"/>
    <w:rsid w:val="00CD20A6"/>
    <w:rsid w:val="00CD349F"/>
    <w:rsid w:val="00CE1B53"/>
    <w:rsid w:val="00CE3F52"/>
    <w:rsid w:val="00CE4B36"/>
    <w:rsid w:val="00CF231E"/>
    <w:rsid w:val="00CF4E51"/>
    <w:rsid w:val="00CF58BC"/>
    <w:rsid w:val="00CF7BA3"/>
    <w:rsid w:val="00D014D7"/>
    <w:rsid w:val="00D02208"/>
    <w:rsid w:val="00D02F6F"/>
    <w:rsid w:val="00D03198"/>
    <w:rsid w:val="00D13A8D"/>
    <w:rsid w:val="00D1735D"/>
    <w:rsid w:val="00D23E53"/>
    <w:rsid w:val="00D249C8"/>
    <w:rsid w:val="00D24B39"/>
    <w:rsid w:val="00D3078B"/>
    <w:rsid w:val="00D36DA3"/>
    <w:rsid w:val="00D406CE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957"/>
    <w:rsid w:val="00D84A22"/>
    <w:rsid w:val="00D866D6"/>
    <w:rsid w:val="00D95139"/>
    <w:rsid w:val="00D971A8"/>
    <w:rsid w:val="00DA508C"/>
    <w:rsid w:val="00DA57DA"/>
    <w:rsid w:val="00DA7639"/>
    <w:rsid w:val="00DB52EC"/>
    <w:rsid w:val="00DB5856"/>
    <w:rsid w:val="00DB65C6"/>
    <w:rsid w:val="00DC0FAA"/>
    <w:rsid w:val="00DC26D3"/>
    <w:rsid w:val="00DC3322"/>
    <w:rsid w:val="00DC6BB0"/>
    <w:rsid w:val="00DC72C0"/>
    <w:rsid w:val="00DD2C5A"/>
    <w:rsid w:val="00DD4E51"/>
    <w:rsid w:val="00DD724A"/>
    <w:rsid w:val="00DE4A31"/>
    <w:rsid w:val="00DF1FB0"/>
    <w:rsid w:val="00DF7DDA"/>
    <w:rsid w:val="00E01F9E"/>
    <w:rsid w:val="00E04E50"/>
    <w:rsid w:val="00E0519B"/>
    <w:rsid w:val="00E14033"/>
    <w:rsid w:val="00E20874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70D20"/>
    <w:rsid w:val="00E73F31"/>
    <w:rsid w:val="00E73FBC"/>
    <w:rsid w:val="00E76056"/>
    <w:rsid w:val="00E77A37"/>
    <w:rsid w:val="00E83829"/>
    <w:rsid w:val="00E83C00"/>
    <w:rsid w:val="00E840D2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186C"/>
    <w:rsid w:val="00EB2B36"/>
    <w:rsid w:val="00EB3B06"/>
    <w:rsid w:val="00EB66BC"/>
    <w:rsid w:val="00EC37D2"/>
    <w:rsid w:val="00EC3D15"/>
    <w:rsid w:val="00EC6B37"/>
    <w:rsid w:val="00EC74D7"/>
    <w:rsid w:val="00ED02C7"/>
    <w:rsid w:val="00ED0C06"/>
    <w:rsid w:val="00ED2169"/>
    <w:rsid w:val="00ED5AF7"/>
    <w:rsid w:val="00EE1544"/>
    <w:rsid w:val="00EE25EB"/>
    <w:rsid w:val="00EF0CDF"/>
    <w:rsid w:val="00EF5206"/>
    <w:rsid w:val="00EF5B0B"/>
    <w:rsid w:val="00EF6530"/>
    <w:rsid w:val="00EF7266"/>
    <w:rsid w:val="00F05D44"/>
    <w:rsid w:val="00F07C39"/>
    <w:rsid w:val="00F11A52"/>
    <w:rsid w:val="00F11AAF"/>
    <w:rsid w:val="00F11E02"/>
    <w:rsid w:val="00F1280F"/>
    <w:rsid w:val="00F16A45"/>
    <w:rsid w:val="00F205CC"/>
    <w:rsid w:val="00F22836"/>
    <w:rsid w:val="00F23768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04A8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  <w:rsid w:val="7CCE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m.hsbc.com/solutions/sustainable-financing/sfi-survey-euro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bm.hsbc.com/solutions/sustainable-financing/sfi-survey-euro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bm.hsbc.com/solutions/sustainable-financing/sfi-survey-glob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ominik.jezek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bc.com/insight/topics/climate-in-the-covid-er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7898-A681-1F41-810F-15998A3E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2003</vt:lpstr>
    </vt:vector>
  </TitlesOfParts>
  <Company>TOSHIBA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Dominik Jezek</cp:lastModifiedBy>
  <cp:revision>7</cp:revision>
  <cp:lastPrinted>2018-06-06T15:10:00Z</cp:lastPrinted>
  <dcterms:created xsi:type="dcterms:W3CDTF">2020-11-05T11:34:00Z</dcterms:created>
  <dcterms:modified xsi:type="dcterms:W3CDTF">2020-11-09T10:24:00Z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