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681E" w14:textId="77777777" w:rsidR="00AB515D" w:rsidRPr="00515A39" w:rsidRDefault="00AB515D" w:rsidP="004E1D63">
      <w:pPr>
        <w:rPr>
          <w:rFonts w:ascii="Calibri" w:hAnsi="Calibri" w:cs="Calibri"/>
          <w:b/>
          <w:sz w:val="24"/>
        </w:rPr>
      </w:pPr>
    </w:p>
    <w:p w14:paraId="2F6FD620" w14:textId="17DA0484" w:rsidR="00EA4DC0" w:rsidRPr="00515A39" w:rsidRDefault="00E73FBC" w:rsidP="00E73FBC">
      <w:pPr>
        <w:spacing w:after="160" w:line="259" w:lineRule="auto"/>
        <w:jc w:val="center"/>
        <w:rPr>
          <w:rFonts w:ascii="Calibri" w:hAnsi="Calibri" w:cs="Calibri"/>
          <w:b/>
          <w:sz w:val="28"/>
          <w:szCs w:val="28"/>
        </w:rPr>
      </w:pPr>
      <w:bookmarkStart w:id="0" w:name="_gezoi14pvxii" w:colFirst="0" w:colLast="0"/>
      <w:bookmarkEnd w:id="0"/>
      <w:r w:rsidRPr="00E73FBC">
        <w:rPr>
          <w:rFonts w:ascii="Calibri" w:hAnsi="Calibri" w:cs="Calibri"/>
          <w:b/>
          <w:sz w:val="28"/>
          <w:szCs w:val="28"/>
        </w:rPr>
        <w:t>HSBC plánuje přechod k ekonomice s nulovou uhlíkovou stopou</w:t>
      </w:r>
    </w:p>
    <w:p w14:paraId="76FBC3C0" w14:textId="77777777" w:rsidR="00E73FBC" w:rsidRPr="00515A39" w:rsidRDefault="00E73FBC" w:rsidP="00A07624">
      <w:pPr>
        <w:spacing w:line="276" w:lineRule="auto"/>
        <w:jc w:val="center"/>
        <w:rPr>
          <w:rFonts w:ascii="Arial" w:hAnsi="Arial" w:cs="Arial"/>
          <w:bCs/>
          <w:i/>
          <w:iCs/>
          <w:sz w:val="22"/>
          <w:szCs w:val="22"/>
        </w:rPr>
      </w:pPr>
      <w:r w:rsidRPr="00515A39">
        <w:rPr>
          <w:rFonts w:ascii="Arial" w:hAnsi="Arial" w:cs="Arial"/>
          <w:bCs/>
          <w:i/>
          <w:iCs/>
          <w:sz w:val="22"/>
          <w:szCs w:val="22"/>
        </w:rPr>
        <w:t>Banka se zavazuje ke snížení svých financovaných emisí v souladu s cílem Pařížské dohody dosáhnout nulové uhlíkové stopy do roku 2050</w:t>
      </w:r>
    </w:p>
    <w:p w14:paraId="490A8F28" w14:textId="15F469C0" w:rsidR="00515A39" w:rsidRPr="00515A39" w:rsidRDefault="00515A39" w:rsidP="00A07624">
      <w:pPr>
        <w:pStyle w:val="BodyText1"/>
        <w:spacing w:line="276" w:lineRule="auto"/>
        <w:jc w:val="center"/>
        <w:rPr>
          <w:rFonts w:cs="Arial"/>
          <w:bCs/>
          <w:i/>
          <w:iCs/>
          <w:sz w:val="22"/>
          <w:szCs w:val="22"/>
          <w:lang w:val="cs-CZ"/>
        </w:rPr>
      </w:pPr>
      <w:r w:rsidRPr="00515A39">
        <w:rPr>
          <w:rFonts w:cs="Arial"/>
          <w:bCs/>
          <w:i/>
          <w:iCs/>
          <w:sz w:val="22"/>
          <w:szCs w:val="22"/>
          <w:lang w:val="cs-CZ"/>
        </w:rPr>
        <w:t>Ve svém provozu a dodavatelském řetězci přitom plánuje HSBC tohoto cíle dosáhnout už v roce 2030.</w:t>
      </w:r>
    </w:p>
    <w:p w14:paraId="0EDA27A7" w14:textId="77777777" w:rsidR="00E73FBC" w:rsidRPr="00515A39" w:rsidRDefault="00E73FBC" w:rsidP="00A07624">
      <w:pPr>
        <w:pStyle w:val="BodyText1"/>
        <w:spacing w:line="276" w:lineRule="auto"/>
        <w:rPr>
          <w:rFonts w:cs="Arial"/>
          <w:sz w:val="22"/>
          <w:szCs w:val="22"/>
          <w:lang w:val="cs-CZ"/>
        </w:rPr>
      </w:pPr>
    </w:p>
    <w:p w14:paraId="2D453F41" w14:textId="1C83FEFE" w:rsidR="00E73FBC" w:rsidRPr="00515A39" w:rsidRDefault="00E73FBC" w:rsidP="00A07624">
      <w:pPr>
        <w:pStyle w:val="BodyText1"/>
        <w:spacing w:line="276" w:lineRule="auto"/>
        <w:rPr>
          <w:rFonts w:cs="Arial"/>
          <w:sz w:val="22"/>
          <w:szCs w:val="22"/>
          <w:lang w:val="cs-CZ"/>
        </w:rPr>
      </w:pPr>
      <w:r w:rsidRPr="00515A39">
        <w:rPr>
          <w:rFonts w:cs="Arial"/>
          <w:sz w:val="22"/>
          <w:szCs w:val="22"/>
          <w:lang w:val="cs-CZ"/>
        </w:rPr>
        <w:t xml:space="preserve">Praha, 5. listopadu 2020 – HSBC před pár dny oznámila plán financování a investic podporující přechod k ekonomice s nulovou uhlíkovou stopou. Banka se zavazuje ke snížení svých tzv. „financovaných emisí“ – uhlíkových emisí klientů ve svém portfoliu – v souladu s cílem Pařížské dohody dosáhnout nulové uhlíkové stopy do roku 2050. Ve svém provozu a dodavatelském řetězci přitom plánuje HSBC tohoto cíle dosáhnout už v roce 2030. </w:t>
      </w:r>
    </w:p>
    <w:p w14:paraId="54986C71" w14:textId="77777777" w:rsidR="00E73FBC" w:rsidRPr="00515A39" w:rsidRDefault="00E73FBC" w:rsidP="00A07624">
      <w:pPr>
        <w:pStyle w:val="BodyText1"/>
        <w:spacing w:line="276" w:lineRule="auto"/>
        <w:rPr>
          <w:rFonts w:cs="Arial"/>
          <w:sz w:val="22"/>
          <w:szCs w:val="22"/>
          <w:lang w:val="cs-CZ"/>
        </w:rPr>
      </w:pPr>
    </w:p>
    <w:p w14:paraId="7684FDFE" w14:textId="77777777" w:rsidR="00E73FBC" w:rsidRPr="00515A39" w:rsidRDefault="00E73FBC" w:rsidP="00A07624">
      <w:pPr>
        <w:pStyle w:val="BodyText1"/>
        <w:spacing w:line="276" w:lineRule="auto"/>
        <w:rPr>
          <w:rFonts w:cs="Arial"/>
          <w:sz w:val="22"/>
          <w:szCs w:val="22"/>
          <w:lang w:val="cs-CZ"/>
        </w:rPr>
      </w:pPr>
      <w:r w:rsidRPr="00515A39">
        <w:rPr>
          <w:rFonts w:cs="Arial"/>
          <w:sz w:val="22"/>
          <w:szCs w:val="22"/>
          <w:lang w:val="cs-CZ"/>
        </w:rPr>
        <w:t>Banka se také zavázala spojit síly se svými klienty napříč odvětvími za účelem snížení emisí. HSBC bude stále více upřednostňovat financování a investice, které přispějí k přechodu na nízkouhlíkovou ekonomiku, a zohledňovat klimatickou změnu při svém rozhodování. Své klienty při tomto přechodu plánuje banka podpořit částkou od 17 do 23 bilionů korun (0,75–1 bilion dolarů) ve financování a investicích.</w:t>
      </w:r>
    </w:p>
    <w:p w14:paraId="6710FC65" w14:textId="77777777" w:rsidR="00E73FBC" w:rsidRPr="00515A39" w:rsidRDefault="00E73FBC" w:rsidP="00A07624">
      <w:pPr>
        <w:pStyle w:val="BodyText1"/>
        <w:spacing w:line="276" w:lineRule="auto"/>
        <w:rPr>
          <w:rFonts w:cs="Arial"/>
          <w:sz w:val="22"/>
          <w:szCs w:val="22"/>
          <w:lang w:val="cs-CZ"/>
        </w:rPr>
      </w:pPr>
    </w:p>
    <w:p w14:paraId="11AFAA1A" w14:textId="77777777" w:rsidR="00E73FBC" w:rsidRPr="00515A39" w:rsidRDefault="00E73FBC" w:rsidP="00A07624">
      <w:pPr>
        <w:pStyle w:val="BodyText1"/>
        <w:spacing w:line="276" w:lineRule="auto"/>
        <w:rPr>
          <w:rFonts w:cs="Arial"/>
          <w:sz w:val="22"/>
          <w:szCs w:val="22"/>
          <w:lang w:val="cs-CZ"/>
        </w:rPr>
      </w:pPr>
      <w:r w:rsidRPr="00515A39">
        <w:rPr>
          <w:rFonts w:cs="Arial"/>
          <w:sz w:val="22"/>
          <w:szCs w:val="22"/>
          <w:lang w:val="cs-CZ"/>
        </w:rPr>
        <w:t>Aby dosáhla svých cílů, HSBC plánuje:</w:t>
      </w:r>
    </w:p>
    <w:p w14:paraId="1B1D6125" w14:textId="77777777" w:rsidR="00E73FBC" w:rsidRPr="00515A39" w:rsidRDefault="00E73FBC" w:rsidP="00A07624">
      <w:pPr>
        <w:pStyle w:val="BodyText1"/>
        <w:numPr>
          <w:ilvl w:val="0"/>
          <w:numId w:val="40"/>
        </w:numPr>
        <w:spacing w:line="276" w:lineRule="auto"/>
        <w:rPr>
          <w:rFonts w:cs="Arial"/>
          <w:sz w:val="22"/>
          <w:szCs w:val="22"/>
          <w:lang w:val="cs-CZ"/>
        </w:rPr>
      </w:pPr>
      <w:r w:rsidRPr="00515A39">
        <w:rPr>
          <w:rFonts w:cs="Arial"/>
          <w:sz w:val="22"/>
          <w:szCs w:val="22"/>
          <w:lang w:val="cs-CZ"/>
        </w:rPr>
        <w:t>sladit své aktivity s cíli Pařížské dohody, jež usiluje o snížení čistých emisí oxidu uhličitého do roku 2050 na nulu;</w:t>
      </w:r>
    </w:p>
    <w:p w14:paraId="512476AC" w14:textId="77777777" w:rsidR="00E73FBC" w:rsidRPr="00515A39" w:rsidRDefault="00E73FBC" w:rsidP="00A07624">
      <w:pPr>
        <w:pStyle w:val="BodyText1"/>
        <w:numPr>
          <w:ilvl w:val="0"/>
          <w:numId w:val="40"/>
        </w:numPr>
        <w:spacing w:line="276" w:lineRule="auto"/>
        <w:rPr>
          <w:rFonts w:cs="Arial"/>
          <w:sz w:val="22"/>
          <w:szCs w:val="22"/>
          <w:lang w:val="cs-CZ"/>
        </w:rPr>
      </w:pPr>
      <w:r w:rsidRPr="00515A39">
        <w:rPr>
          <w:rFonts w:cs="Arial"/>
          <w:sz w:val="22"/>
          <w:szCs w:val="22"/>
          <w:lang w:val="cs-CZ"/>
        </w:rPr>
        <w:t>ještě více podporovat své klienty v jejich přechodu na nízkouhlíkovou ekonomiku prostřednictvím dedikovaného financování a konzultací;</w:t>
      </w:r>
    </w:p>
    <w:p w14:paraId="7EE98118" w14:textId="77777777" w:rsidR="00E73FBC" w:rsidRPr="00515A39" w:rsidRDefault="00E73FBC" w:rsidP="00A07624">
      <w:pPr>
        <w:pStyle w:val="BodyText1"/>
        <w:numPr>
          <w:ilvl w:val="0"/>
          <w:numId w:val="40"/>
        </w:numPr>
        <w:spacing w:line="276" w:lineRule="auto"/>
        <w:rPr>
          <w:rFonts w:cs="Arial"/>
          <w:sz w:val="22"/>
          <w:szCs w:val="22"/>
          <w:lang w:val="cs-CZ"/>
        </w:rPr>
      </w:pPr>
      <w:r w:rsidRPr="00515A39">
        <w:rPr>
          <w:rFonts w:cs="Arial"/>
          <w:sz w:val="22"/>
          <w:szCs w:val="22"/>
          <w:lang w:val="cs-CZ"/>
        </w:rPr>
        <w:t xml:space="preserve">hledat nové způsoby, jak pomoci životnímu prostředí, k čemuž hodlá využít fond se 2,3 miliardy korun (100 miliony dolarů) určený na inovace v oblasti čistých technologií a vytvořit filantropický program, který bude pracovat s dalšími 2,3 miliardy korun (100 miliony dolarů) a bude mít za cíl uvést v život nová řešení klimatických výzev a dále je šířit; </w:t>
      </w:r>
    </w:p>
    <w:p w14:paraId="5F0A630A" w14:textId="77777777" w:rsidR="00E73FBC" w:rsidRPr="00515A39" w:rsidRDefault="00E73FBC" w:rsidP="00A07624">
      <w:pPr>
        <w:pStyle w:val="BodyText1"/>
        <w:numPr>
          <w:ilvl w:val="0"/>
          <w:numId w:val="40"/>
        </w:numPr>
        <w:spacing w:line="276" w:lineRule="auto"/>
        <w:rPr>
          <w:rFonts w:cs="Arial"/>
          <w:sz w:val="22"/>
          <w:szCs w:val="22"/>
          <w:lang w:val="cs-CZ"/>
        </w:rPr>
      </w:pPr>
      <w:r w:rsidRPr="00515A39">
        <w:rPr>
          <w:rFonts w:cs="Arial"/>
          <w:sz w:val="22"/>
          <w:szCs w:val="22"/>
          <w:lang w:val="cs-CZ"/>
        </w:rPr>
        <w:t>spolupracovat s firmami, klienty, úřady, vládami a veřejností s cílem dosáhnout změn v celém finančním sektoru.</w:t>
      </w:r>
    </w:p>
    <w:p w14:paraId="2C865113" w14:textId="77777777" w:rsidR="00E73FBC" w:rsidRPr="00515A39" w:rsidRDefault="00E73FBC" w:rsidP="00A07624">
      <w:pPr>
        <w:pStyle w:val="BodyText1"/>
        <w:spacing w:line="276" w:lineRule="auto"/>
        <w:rPr>
          <w:rFonts w:cs="Arial"/>
          <w:sz w:val="22"/>
          <w:szCs w:val="22"/>
          <w:lang w:val="cs-CZ"/>
        </w:rPr>
      </w:pPr>
    </w:p>
    <w:p w14:paraId="37E10298" w14:textId="77777777" w:rsidR="00E73FBC" w:rsidRPr="00515A39" w:rsidRDefault="00E73FBC" w:rsidP="00A07624">
      <w:pPr>
        <w:pStyle w:val="BodyText1"/>
        <w:spacing w:line="276" w:lineRule="auto"/>
        <w:rPr>
          <w:rFonts w:cs="Arial"/>
          <w:sz w:val="22"/>
          <w:szCs w:val="22"/>
          <w:lang w:val="cs-CZ"/>
        </w:rPr>
      </w:pPr>
      <w:r w:rsidRPr="00515A39">
        <w:rPr>
          <w:rFonts w:cs="Arial"/>
          <w:sz w:val="22"/>
          <w:szCs w:val="22"/>
          <w:lang w:val="cs-CZ"/>
        </w:rPr>
        <w:t>Přechod na nízkouhlíkovou ekonomiku podporuje HSBC dlouhodobě. V roce 2017 například banka vyčlenila 2,3 bilionu korun (100 miliard dolarů) k podpoře udržitelného financování do roku 2025 a od té doby uvedla na trh řadu produktů, které získaly ocenění v oblasti udržitelného financování. Na druhou stranu si banka uvědomuje, že dosažení cílů Pařížské dohody bude vyžadovat další úsilí a zvýšení tempa. K tomu plánuje HSBC využít rozsahu svých aktivit a celosvětového vlivu ve snaze urychlit přechod na nulovou uhlíkovou stopu.</w:t>
      </w:r>
    </w:p>
    <w:p w14:paraId="4E2D6001" w14:textId="77777777" w:rsidR="00E73FBC" w:rsidRPr="00515A39" w:rsidRDefault="00E73FBC" w:rsidP="00A07624">
      <w:pPr>
        <w:pStyle w:val="BodyText1"/>
        <w:spacing w:line="276" w:lineRule="auto"/>
        <w:rPr>
          <w:rFonts w:eastAsiaTheme="minorHAnsi" w:cs="Arial"/>
          <w:i/>
          <w:iCs/>
          <w:sz w:val="22"/>
          <w:szCs w:val="22"/>
          <w:lang w:val="cs-CZ"/>
        </w:rPr>
      </w:pPr>
    </w:p>
    <w:p w14:paraId="12262DE5" w14:textId="3A53BAB2" w:rsidR="00E73FBC" w:rsidRPr="00E73FBC" w:rsidRDefault="00A07624" w:rsidP="00A07624">
      <w:pPr>
        <w:pStyle w:val="BodyText1"/>
        <w:spacing w:line="276" w:lineRule="auto"/>
        <w:rPr>
          <w:rFonts w:eastAsiaTheme="minorHAnsi" w:cs="Arial"/>
          <w:sz w:val="22"/>
          <w:szCs w:val="22"/>
          <w:lang w:val="cs-CZ"/>
        </w:rPr>
      </w:pPr>
      <w:r>
        <w:rPr>
          <w:rFonts w:eastAsiaTheme="minorHAnsi" w:cs="Arial"/>
          <w:i/>
          <w:iCs/>
          <w:sz w:val="22"/>
          <w:szCs w:val="22"/>
          <w:lang w:val="cs-CZ"/>
        </w:rPr>
        <w:t>„</w:t>
      </w:r>
      <w:r w:rsidR="00E73FBC" w:rsidRPr="00E73FBC">
        <w:rPr>
          <w:rFonts w:eastAsiaTheme="minorHAnsi" w:cs="Arial"/>
          <w:i/>
          <w:iCs/>
          <w:sz w:val="22"/>
          <w:szCs w:val="22"/>
          <w:lang w:val="cs-CZ"/>
        </w:rPr>
        <w:t>Česká republika se</w:t>
      </w:r>
      <w:r>
        <w:rPr>
          <w:rFonts w:eastAsiaTheme="minorHAnsi" w:cs="Arial"/>
          <w:i/>
          <w:iCs/>
          <w:sz w:val="22"/>
          <w:szCs w:val="22"/>
          <w:lang w:val="cs-CZ"/>
        </w:rPr>
        <w:t xml:space="preserve"> ve vztahu k</w:t>
      </w:r>
      <w:r w:rsidR="00E73FBC" w:rsidRPr="00E73FBC">
        <w:rPr>
          <w:rFonts w:eastAsiaTheme="minorHAnsi" w:cs="Arial"/>
          <w:i/>
          <w:iCs/>
          <w:sz w:val="22"/>
          <w:szCs w:val="22"/>
          <w:lang w:val="cs-CZ"/>
        </w:rPr>
        <w:t xml:space="preserve"> udržitelnosti začíná přibližovat západním zemím. V posledních letech se zde zvyšuje celkový objem vytříděného odpadu i úsilí firem o investování a řízení provozu s větším ohledem na životní prostředí. Během </w:t>
      </w:r>
      <w:r w:rsidR="00E73FBC" w:rsidRPr="00E73FBC">
        <w:rPr>
          <w:rFonts w:eastAsiaTheme="minorHAnsi" w:cs="Arial"/>
          <w:i/>
          <w:iCs/>
          <w:sz w:val="22"/>
          <w:szCs w:val="22"/>
          <w:lang w:val="cs-CZ"/>
        </w:rPr>
        <w:lastRenderedPageBreak/>
        <w:t xml:space="preserve">rozhovorů s našimi klienty toto téma často </w:t>
      </w:r>
      <w:r>
        <w:rPr>
          <w:rFonts w:eastAsiaTheme="minorHAnsi" w:cs="Arial"/>
          <w:i/>
          <w:iCs/>
          <w:sz w:val="22"/>
          <w:szCs w:val="22"/>
          <w:lang w:val="cs-CZ"/>
        </w:rPr>
        <w:t>diskutujem</w:t>
      </w:r>
      <w:r w:rsidR="00E73FBC" w:rsidRPr="00E73FBC">
        <w:rPr>
          <w:rFonts w:eastAsiaTheme="minorHAnsi" w:cs="Arial"/>
          <w:i/>
          <w:iCs/>
          <w:sz w:val="22"/>
          <w:szCs w:val="22"/>
          <w:lang w:val="cs-CZ"/>
        </w:rPr>
        <w:t>e a těší mě, že velká většina z nich nevnímá udržitelnost jako cestu příhodnou, ale nutnou. Proto chceme podpořit naše partnery, klienty i dodavatele v jejich přechodu na nízkouhlíkovou ekonomiku, abychom vytvořili lepší budoucnost pro všechny,</w:t>
      </w:r>
      <w:r>
        <w:rPr>
          <w:rFonts w:eastAsiaTheme="minorHAnsi" w:cs="Arial"/>
          <w:i/>
          <w:iCs/>
          <w:sz w:val="22"/>
          <w:szCs w:val="22"/>
          <w:lang w:val="cs-CZ"/>
        </w:rPr>
        <w:t>“</w:t>
      </w:r>
      <w:r w:rsidR="00E73FBC" w:rsidRPr="00E73FBC">
        <w:rPr>
          <w:rFonts w:eastAsiaTheme="minorHAnsi" w:cs="Arial"/>
          <w:sz w:val="22"/>
          <w:szCs w:val="22"/>
          <w:lang w:val="cs-CZ"/>
        </w:rPr>
        <w:t xml:space="preserve"> </w:t>
      </w:r>
      <w:r w:rsidR="00E73FBC" w:rsidRPr="00515A39">
        <w:rPr>
          <w:rFonts w:eastAsiaTheme="minorHAnsi" w:cs="Arial"/>
          <w:sz w:val="22"/>
          <w:szCs w:val="22"/>
          <w:lang w:val="cs-CZ"/>
        </w:rPr>
        <w:t>uzavírá</w:t>
      </w:r>
      <w:r w:rsidR="00E73FBC" w:rsidRPr="00E73FBC">
        <w:rPr>
          <w:rFonts w:eastAsiaTheme="minorHAnsi" w:cs="Arial"/>
          <w:sz w:val="22"/>
          <w:szCs w:val="22"/>
          <w:lang w:val="cs-CZ"/>
        </w:rPr>
        <w:t xml:space="preserve"> Richard </w:t>
      </w:r>
      <w:proofErr w:type="spellStart"/>
      <w:r w:rsidR="00E73FBC" w:rsidRPr="00E73FBC">
        <w:rPr>
          <w:rFonts w:eastAsiaTheme="minorHAnsi" w:cs="Arial"/>
          <w:sz w:val="22"/>
          <w:szCs w:val="22"/>
          <w:lang w:val="cs-CZ"/>
        </w:rPr>
        <w:t>Keery</w:t>
      </w:r>
      <w:proofErr w:type="spellEnd"/>
      <w:r w:rsidR="00E73FBC" w:rsidRPr="00E73FBC">
        <w:rPr>
          <w:rFonts w:eastAsiaTheme="minorHAnsi" w:cs="Arial"/>
          <w:sz w:val="22"/>
          <w:szCs w:val="22"/>
          <w:lang w:val="cs-CZ"/>
        </w:rPr>
        <w:t>, generální ředitel HSBC Česká republika.</w:t>
      </w:r>
    </w:p>
    <w:p w14:paraId="107A8CC4" w14:textId="77777777" w:rsidR="00A07624" w:rsidRDefault="00A07624" w:rsidP="007223BD">
      <w:pPr>
        <w:rPr>
          <w:rStyle w:val="StyleArial9pt"/>
          <w:rFonts w:ascii="Calibri" w:hAnsi="Calibri" w:cs="Calibri"/>
          <w:sz w:val="20"/>
        </w:rPr>
      </w:pPr>
    </w:p>
    <w:p w14:paraId="3D0F1778" w14:textId="77777777" w:rsidR="00A07624" w:rsidRDefault="00A07624" w:rsidP="007223BD">
      <w:pPr>
        <w:rPr>
          <w:rStyle w:val="StyleArial9pt"/>
          <w:rFonts w:ascii="Calibri" w:hAnsi="Calibri" w:cs="Calibri"/>
          <w:sz w:val="20"/>
        </w:rPr>
      </w:pPr>
    </w:p>
    <w:p w14:paraId="433AD555" w14:textId="3E00BAE7" w:rsidR="007223BD" w:rsidRPr="00515A39" w:rsidRDefault="007223BD" w:rsidP="007223BD">
      <w:pPr>
        <w:rPr>
          <w:rStyle w:val="StyleArial9pt"/>
          <w:rFonts w:ascii="Calibri" w:hAnsi="Calibri" w:cs="Calibri"/>
          <w:sz w:val="20"/>
        </w:rPr>
      </w:pPr>
      <w:r w:rsidRPr="00515A39">
        <w:rPr>
          <w:rStyle w:val="StyleArial9pt"/>
          <w:rFonts w:ascii="Calibri" w:hAnsi="Calibri" w:cs="Calibri"/>
          <w:sz w:val="20"/>
        </w:rPr>
        <w:t>______________________________________________________________________________</w:t>
      </w:r>
    </w:p>
    <w:p w14:paraId="4316E6EF" w14:textId="77777777" w:rsidR="007223BD" w:rsidRPr="00515A39" w:rsidRDefault="007223BD" w:rsidP="007223BD">
      <w:pPr>
        <w:rPr>
          <w:rFonts w:ascii="Calibri" w:hAnsi="Calibri" w:cs="Calibri"/>
        </w:rPr>
      </w:pPr>
    </w:p>
    <w:p w14:paraId="60A63C7C" w14:textId="77777777" w:rsidR="007223BD" w:rsidRPr="00515A39" w:rsidRDefault="007223BD" w:rsidP="007223BD">
      <w:pPr>
        <w:pStyle w:val="Headingbold10pt"/>
        <w:rPr>
          <w:rFonts w:ascii="Calibri" w:hAnsi="Calibri" w:cs="Calibri"/>
          <w:szCs w:val="20"/>
          <w:lang w:val="cs-CZ"/>
        </w:rPr>
      </w:pPr>
      <w:r w:rsidRPr="00515A39">
        <w:rPr>
          <w:rFonts w:ascii="Calibri" w:hAnsi="Calibri" w:cs="Calibri"/>
          <w:szCs w:val="20"/>
          <w:lang w:val="cs-CZ"/>
        </w:rPr>
        <w:t>Kontakt pro média:</w:t>
      </w:r>
    </w:p>
    <w:p w14:paraId="646B3CD5" w14:textId="77777777" w:rsidR="007223BD" w:rsidRPr="00515A39" w:rsidRDefault="007223BD" w:rsidP="007223BD">
      <w:pPr>
        <w:pStyle w:val="Bodytext9pt"/>
        <w:tabs>
          <w:tab w:val="left" w:pos="2700"/>
          <w:tab w:val="left" w:pos="5400"/>
        </w:tabs>
        <w:rPr>
          <w:rFonts w:ascii="Calibri" w:hAnsi="Calibri" w:cs="Calibri"/>
          <w:sz w:val="20"/>
          <w:szCs w:val="20"/>
          <w:lang w:val="cs-CZ"/>
        </w:rPr>
      </w:pPr>
      <w:r w:rsidRPr="00515A39">
        <w:rPr>
          <w:rFonts w:ascii="Calibri" w:hAnsi="Calibri" w:cs="Calibri"/>
          <w:sz w:val="20"/>
          <w:szCs w:val="20"/>
          <w:lang w:val="cs-CZ"/>
        </w:rPr>
        <w:tab/>
      </w:r>
      <w:r w:rsidRPr="00515A39">
        <w:rPr>
          <w:rFonts w:ascii="Calibri" w:hAnsi="Calibri" w:cs="Calibri"/>
          <w:sz w:val="20"/>
          <w:szCs w:val="20"/>
          <w:lang w:val="cs-CZ"/>
        </w:rPr>
        <w:tab/>
      </w:r>
    </w:p>
    <w:p w14:paraId="0109A4C7" w14:textId="1F85CA71" w:rsidR="007223BD" w:rsidRPr="00515A39" w:rsidRDefault="007223BD" w:rsidP="007223BD">
      <w:pPr>
        <w:pStyle w:val="Bodytext9pt"/>
        <w:tabs>
          <w:tab w:val="left" w:pos="2700"/>
          <w:tab w:val="left" w:pos="5400"/>
        </w:tabs>
        <w:rPr>
          <w:rFonts w:ascii="Calibri" w:hAnsi="Calibri" w:cs="Calibri"/>
          <w:sz w:val="20"/>
          <w:szCs w:val="20"/>
          <w:lang w:val="cs-CZ"/>
        </w:rPr>
      </w:pPr>
      <w:r w:rsidRPr="00515A39">
        <w:rPr>
          <w:rFonts w:ascii="Calibri" w:hAnsi="Calibri" w:cs="Calibri"/>
          <w:sz w:val="20"/>
          <w:szCs w:val="20"/>
          <w:lang w:val="cs-CZ"/>
        </w:rPr>
        <w:t>Dominik Ježek</w:t>
      </w:r>
      <w:r w:rsidRPr="00515A39">
        <w:rPr>
          <w:rFonts w:ascii="Calibri" w:hAnsi="Calibri" w:cs="Calibri"/>
          <w:sz w:val="20"/>
          <w:szCs w:val="20"/>
          <w:lang w:val="cs-CZ"/>
        </w:rPr>
        <w:tab/>
        <w:t>+420-724-652-308</w:t>
      </w:r>
      <w:r w:rsidRPr="00515A39">
        <w:rPr>
          <w:rFonts w:ascii="Calibri" w:hAnsi="Calibri" w:cs="Calibri"/>
          <w:sz w:val="20"/>
          <w:szCs w:val="20"/>
          <w:lang w:val="cs-CZ"/>
        </w:rPr>
        <w:tab/>
      </w:r>
      <w:hyperlink r:id="rId8" w:history="1">
        <w:r w:rsidR="004C5F66" w:rsidRPr="00515A39">
          <w:rPr>
            <w:rStyle w:val="Hyperlink"/>
            <w:rFonts w:ascii="Calibri" w:hAnsi="Calibri" w:cs="Calibri"/>
            <w:sz w:val="20"/>
            <w:szCs w:val="20"/>
            <w:lang w:val="cs-CZ"/>
          </w:rPr>
          <w:t>dominik.jezek@havaspr.com</w:t>
        </w:r>
      </w:hyperlink>
    </w:p>
    <w:p w14:paraId="151FDF4F" w14:textId="77777777" w:rsidR="007223BD" w:rsidRPr="00515A39" w:rsidRDefault="007223BD" w:rsidP="00AB515D">
      <w:pPr>
        <w:rPr>
          <w:rFonts w:ascii="Calibri" w:hAnsi="Calibri" w:cs="Calibri"/>
          <w:b/>
          <w:sz w:val="18"/>
          <w:szCs w:val="18"/>
        </w:rPr>
      </w:pPr>
    </w:p>
    <w:p w14:paraId="46EB222F" w14:textId="77777777" w:rsidR="00A07624" w:rsidRDefault="00A07624" w:rsidP="00E73FBC">
      <w:pPr>
        <w:rPr>
          <w:rFonts w:ascii="Arial" w:eastAsia="SimSun" w:hAnsi="Arial" w:cs="Arial"/>
          <w:b/>
          <w:bCs/>
          <w:sz w:val="18"/>
          <w:szCs w:val="18"/>
        </w:rPr>
      </w:pPr>
    </w:p>
    <w:p w14:paraId="4441E399" w14:textId="458B517F" w:rsidR="00E73FBC" w:rsidRPr="00515A39" w:rsidRDefault="00E73FBC" w:rsidP="00E73FBC">
      <w:pPr>
        <w:rPr>
          <w:rFonts w:ascii="Arial" w:eastAsia="SimSun" w:hAnsi="Arial" w:cs="Arial"/>
          <w:b/>
          <w:bCs/>
          <w:sz w:val="18"/>
          <w:szCs w:val="18"/>
        </w:rPr>
      </w:pPr>
      <w:r w:rsidRPr="00515A39">
        <w:rPr>
          <w:rFonts w:ascii="Arial" w:eastAsia="SimSun" w:hAnsi="Arial" w:cs="Arial"/>
          <w:b/>
          <w:bCs/>
          <w:sz w:val="18"/>
          <w:szCs w:val="18"/>
        </w:rPr>
        <w:t xml:space="preserve">HSBC </w:t>
      </w:r>
      <w:proofErr w:type="spellStart"/>
      <w:r w:rsidRPr="00515A39">
        <w:rPr>
          <w:rFonts w:ascii="Arial" w:eastAsia="SimSun" w:hAnsi="Arial" w:cs="Arial"/>
          <w:b/>
          <w:bCs/>
          <w:sz w:val="18"/>
          <w:szCs w:val="18"/>
        </w:rPr>
        <w:t>Holdings</w:t>
      </w:r>
      <w:proofErr w:type="spellEnd"/>
      <w:r w:rsidRPr="00515A39">
        <w:rPr>
          <w:rFonts w:ascii="Arial" w:eastAsia="SimSun" w:hAnsi="Arial" w:cs="Arial"/>
          <w:b/>
          <w:bCs/>
          <w:sz w:val="18"/>
          <w:szCs w:val="18"/>
        </w:rPr>
        <w:t xml:space="preserve"> </w:t>
      </w:r>
      <w:proofErr w:type="spellStart"/>
      <w:r w:rsidRPr="00515A39">
        <w:rPr>
          <w:rFonts w:ascii="Arial" w:eastAsia="SimSun" w:hAnsi="Arial" w:cs="Arial"/>
          <w:b/>
          <w:bCs/>
          <w:sz w:val="18"/>
          <w:szCs w:val="18"/>
        </w:rPr>
        <w:t>plc</w:t>
      </w:r>
      <w:proofErr w:type="spellEnd"/>
    </w:p>
    <w:p w14:paraId="2EC54CE2" w14:textId="77777777" w:rsidR="00E73FBC" w:rsidRPr="00515A39" w:rsidRDefault="00E73FBC" w:rsidP="00E73FBC">
      <w:pPr>
        <w:pStyle w:val="BodyText1"/>
        <w:rPr>
          <w:rFonts w:cs="Arial"/>
          <w:b/>
          <w:lang w:val="cs-CZ"/>
        </w:rPr>
      </w:pPr>
      <w:r w:rsidRPr="00515A39">
        <w:rPr>
          <w:rFonts w:eastAsia="SimSun" w:cs="Arial"/>
          <w:sz w:val="18"/>
          <w:szCs w:val="18"/>
          <w:lang w:val="cs-CZ" w:eastAsia="zh-CN"/>
        </w:rPr>
        <w:t xml:space="preserve">HSBC </w:t>
      </w:r>
      <w:proofErr w:type="spellStart"/>
      <w:r w:rsidRPr="00515A39">
        <w:rPr>
          <w:rFonts w:eastAsia="SimSun" w:cs="Arial"/>
          <w:sz w:val="18"/>
          <w:szCs w:val="18"/>
          <w:lang w:val="cs-CZ" w:eastAsia="zh-CN"/>
        </w:rPr>
        <w:t>Holdings</w:t>
      </w:r>
      <w:proofErr w:type="spellEnd"/>
      <w:r w:rsidRPr="00515A39">
        <w:rPr>
          <w:rFonts w:eastAsia="SimSun" w:cs="Arial"/>
          <w:sz w:val="18"/>
          <w:szCs w:val="18"/>
          <w:lang w:val="cs-CZ" w:eastAsia="zh-CN"/>
        </w:rPr>
        <w:t xml:space="preserve"> </w:t>
      </w:r>
      <w:proofErr w:type="spellStart"/>
      <w:r w:rsidRPr="00515A39">
        <w:rPr>
          <w:rFonts w:eastAsia="SimSun" w:cs="Arial"/>
          <w:sz w:val="18"/>
          <w:szCs w:val="18"/>
          <w:lang w:val="cs-CZ" w:eastAsia="zh-CN"/>
        </w:rPr>
        <w:t>plc</w:t>
      </w:r>
      <w:proofErr w:type="spellEnd"/>
      <w:r w:rsidRPr="00515A39">
        <w:rPr>
          <w:rFonts w:eastAsia="SimSun" w:cs="Arial"/>
          <w:sz w:val="18"/>
          <w:szCs w:val="18"/>
          <w:lang w:val="cs-CZ" w:eastAsia="zh-CN"/>
        </w:rPr>
        <w:t>, mateřská společnost skupiny HSBC, má sídlo v Londýně. HSBC poskytuje své služby zákazníkům po celém světě s pobočkami v 64 zemích a teritoriích v těchto oblastech: Evropa, Asie, Severní Amerika, Latinská Amerika, Blízký východ a severní Afrika. S aktivy ve výši 2,923 miliardy USD k 30. červnu 2020 je HSBC jednou z největších světových organizací poskytujících bankovní a finanční služby.</w:t>
      </w:r>
    </w:p>
    <w:p w14:paraId="62234DF2" w14:textId="77777777" w:rsidR="00E73FBC" w:rsidRPr="00515A39" w:rsidRDefault="00E73FBC" w:rsidP="00E73FBC">
      <w:pPr>
        <w:pStyle w:val="BodyText1"/>
        <w:rPr>
          <w:rFonts w:cs="Arial"/>
          <w:b/>
          <w:lang w:val="cs-CZ"/>
        </w:rPr>
      </w:pPr>
    </w:p>
    <w:p w14:paraId="7F722091" w14:textId="77777777" w:rsidR="00E73FBC" w:rsidRPr="00515A39" w:rsidRDefault="00E73FBC" w:rsidP="00E73FBC">
      <w:pPr>
        <w:pStyle w:val="BodyText1"/>
        <w:rPr>
          <w:rFonts w:cs="Arial"/>
          <w:b/>
          <w:sz w:val="18"/>
          <w:lang w:val="cs-CZ"/>
        </w:rPr>
      </w:pPr>
      <w:r w:rsidRPr="00515A39">
        <w:rPr>
          <w:rFonts w:cs="Arial"/>
          <w:b/>
          <w:sz w:val="18"/>
          <w:lang w:val="cs-CZ"/>
        </w:rPr>
        <w:t>Historie udržitelného financování HSBC</w:t>
      </w:r>
    </w:p>
    <w:p w14:paraId="58584AD8" w14:textId="77777777" w:rsidR="00E73FBC" w:rsidRPr="00515A39" w:rsidRDefault="00E73FBC" w:rsidP="00E73FBC">
      <w:pPr>
        <w:pStyle w:val="BodyText1"/>
        <w:rPr>
          <w:rFonts w:cs="Arial"/>
          <w:sz w:val="18"/>
          <w:lang w:val="cs-CZ"/>
        </w:rPr>
      </w:pPr>
    </w:p>
    <w:p w14:paraId="4E3C1729" w14:textId="77777777" w:rsidR="00E73FBC" w:rsidRPr="00515A39" w:rsidRDefault="00E73FBC" w:rsidP="00E73FBC">
      <w:pPr>
        <w:pStyle w:val="BodyText1"/>
        <w:rPr>
          <w:rFonts w:cs="Arial"/>
          <w:sz w:val="18"/>
          <w:lang w:val="cs-CZ"/>
        </w:rPr>
      </w:pPr>
      <w:r w:rsidRPr="00515A39">
        <w:rPr>
          <w:rFonts w:cs="Arial"/>
          <w:sz w:val="18"/>
          <w:lang w:val="cs-CZ"/>
        </w:rPr>
        <w:t>Ambiciózní plán banky staví na jejím vedoucím postavení v oblasti udržitelných financí a řešení problémů spojených s klimatickými změnami.</w:t>
      </w:r>
    </w:p>
    <w:p w14:paraId="72515FCD" w14:textId="77777777" w:rsidR="00E73FBC" w:rsidRPr="00515A39" w:rsidRDefault="00E73FBC" w:rsidP="00E73FBC">
      <w:pPr>
        <w:pStyle w:val="BodyText1"/>
        <w:rPr>
          <w:rFonts w:cs="Arial"/>
          <w:sz w:val="18"/>
          <w:lang w:val="cs-CZ"/>
        </w:rPr>
      </w:pPr>
    </w:p>
    <w:p w14:paraId="36D5287F"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V roce 2017 se HSBC zavázala, že do roku 2025 podpoří oblast udržitelného financování a investic částkou 100 miliard dolarů.</w:t>
      </w:r>
    </w:p>
    <w:p w14:paraId="2A7F4EB4"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 xml:space="preserve">V roce 2020 byla HSBC vyhlášena nejlepší bankou pro udržitelné financování na světě společností </w:t>
      </w:r>
      <w:proofErr w:type="spellStart"/>
      <w:r w:rsidRPr="00515A39">
        <w:rPr>
          <w:rFonts w:cs="Arial"/>
          <w:sz w:val="18"/>
          <w:lang w:val="cs-CZ"/>
        </w:rPr>
        <w:t>Euromoney</w:t>
      </w:r>
      <w:proofErr w:type="spellEnd"/>
      <w:r w:rsidRPr="00515A39">
        <w:rPr>
          <w:rFonts w:cs="Arial"/>
          <w:sz w:val="18"/>
          <w:lang w:val="cs-CZ"/>
        </w:rPr>
        <w:t>, která poznamenala, že „HSBC vyniká svým závazkem rozvíjet partnerství a produkty, které přinesou finance v měřítku nezbytném k vytvoření udržitelnější a odolnější planety“.</w:t>
      </w:r>
    </w:p>
    <w:p w14:paraId="70FB1C90"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 xml:space="preserve">Magazín </w:t>
      </w:r>
      <w:proofErr w:type="spellStart"/>
      <w:r w:rsidRPr="00515A39">
        <w:rPr>
          <w:rFonts w:cs="Arial"/>
          <w:sz w:val="18"/>
          <w:lang w:val="cs-CZ"/>
        </w:rPr>
        <w:t>The</w:t>
      </w:r>
      <w:proofErr w:type="spellEnd"/>
      <w:r w:rsidRPr="00515A39">
        <w:rPr>
          <w:rFonts w:cs="Arial"/>
          <w:sz w:val="18"/>
          <w:lang w:val="cs-CZ"/>
        </w:rPr>
        <w:t xml:space="preserve"> </w:t>
      </w:r>
      <w:proofErr w:type="spellStart"/>
      <w:r w:rsidRPr="00515A39">
        <w:rPr>
          <w:rFonts w:cs="Arial"/>
          <w:sz w:val="18"/>
          <w:lang w:val="cs-CZ"/>
        </w:rPr>
        <w:t>Banker</w:t>
      </w:r>
      <w:proofErr w:type="spellEnd"/>
      <w:r w:rsidRPr="00515A39">
        <w:rPr>
          <w:rFonts w:cs="Arial"/>
          <w:sz w:val="18"/>
          <w:lang w:val="cs-CZ"/>
        </w:rPr>
        <w:t xml:space="preserve"> minulý měsíc ve svých oceněních roku 2020 označil HSBC za Investiční banku roku pro udržitelnost a vyzdvihl „účinný a holistický přístup v oblasti týkající se životního prostředí, sociální a správní oblasti (ESG) napříč produkty, službami a oblastmi pro řadu klientů“.</w:t>
      </w:r>
    </w:p>
    <w:p w14:paraId="6C83C3F6"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 xml:space="preserve">HSBC je podle společnosti </w:t>
      </w:r>
      <w:proofErr w:type="spellStart"/>
      <w:r w:rsidRPr="00515A39">
        <w:rPr>
          <w:rFonts w:cs="Arial"/>
          <w:sz w:val="18"/>
          <w:lang w:val="cs-CZ"/>
        </w:rPr>
        <w:t>Dealogic</w:t>
      </w:r>
      <w:proofErr w:type="spellEnd"/>
      <w:r w:rsidRPr="00515A39">
        <w:rPr>
          <w:rFonts w:cs="Arial"/>
          <w:sz w:val="18"/>
          <w:lang w:val="cs-CZ"/>
        </w:rPr>
        <w:t xml:space="preserve"> světovou jedničkou v počtu zelených, sociálních a udržitelných dluhopisů za tento rok do konce září.</w:t>
      </w:r>
    </w:p>
    <w:p w14:paraId="160193C1"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 xml:space="preserve">HSBC byla v posledních pěti letech hodnocena jako přední společnost ve výzkumu ESG (životního prostředí, sociální a správní oblasti) podle externích průzkumů, které zahrnují i ten od </w:t>
      </w:r>
      <w:proofErr w:type="spellStart"/>
      <w:r w:rsidRPr="00515A39">
        <w:rPr>
          <w:rFonts w:cs="Arial"/>
          <w:sz w:val="18"/>
          <w:lang w:val="cs-CZ"/>
        </w:rPr>
        <w:t>Extel</w:t>
      </w:r>
      <w:proofErr w:type="spellEnd"/>
      <w:r w:rsidRPr="00515A39">
        <w:rPr>
          <w:rFonts w:cs="Arial"/>
          <w:sz w:val="18"/>
          <w:lang w:val="cs-CZ"/>
        </w:rPr>
        <w:t xml:space="preserve"> and </w:t>
      </w:r>
      <w:proofErr w:type="spellStart"/>
      <w:r w:rsidRPr="00515A39">
        <w:rPr>
          <w:rFonts w:cs="Arial"/>
          <w:sz w:val="18"/>
          <w:lang w:val="cs-CZ"/>
        </w:rPr>
        <w:t>Institutional</w:t>
      </w:r>
      <w:proofErr w:type="spellEnd"/>
      <w:r w:rsidRPr="00515A39">
        <w:rPr>
          <w:rFonts w:cs="Arial"/>
          <w:sz w:val="18"/>
          <w:lang w:val="cs-CZ"/>
        </w:rPr>
        <w:t xml:space="preserve"> Investor.</w:t>
      </w:r>
    </w:p>
    <w:p w14:paraId="558E0F6E"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 xml:space="preserve">HSBC je členem RE100 a zavázala se využívat elektřiny z obnovitelných zdrojů pro 100 % vlastní spotřeby. </w:t>
      </w:r>
    </w:p>
    <w:p w14:paraId="45F2D144" w14:textId="77777777" w:rsidR="00E73FBC" w:rsidRPr="00515A39" w:rsidRDefault="00E73FBC" w:rsidP="00E73FBC">
      <w:pPr>
        <w:pStyle w:val="BodyText1"/>
        <w:rPr>
          <w:rFonts w:cs="Arial"/>
          <w:sz w:val="18"/>
          <w:lang w:val="cs-CZ"/>
        </w:rPr>
      </w:pPr>
    </w:p>
    <w:p w14:paraId="0F530389" w14:textId="77777777" w:rsidR="00E73FBC" w:rsidRPr="00515A39" w:rsidRDefault="00E73FBC" w:rsidP="00E73FBC">
      <w:pPr>
        <w:pStyle w:val="BodyText1"/>
        <w:rPr>
          <w:rFonts w:cs="Arial"/>
          <w:b/>
          <w:bCs/>
          <w:sz w:val="18"/>
          <w:lang w:val="cs-CZ"/>
        </w:rPr>
      </w:pPr>
      <w:r w:rsidRPr="00515A39">
        <w:rPr>
          <w:rFonts w:cs="Arial"/>
          <w:b/>
          <w:bCs/>
          <w:sz w:val="18"/>
          <w:lang w:val="cs-CZ"/>
        </w:rPr>
        <w:t>Nejnovější inovativní zelená řešení HSBC</w:t>
      </w:r>
    </w:p>
    <w:p w14:paraId="7EBB4C79" w14:textId="77777777" w:rsidR="00E73FBC" w:rsidRPr="00515A39" w:rsidRDefault="00E73FBC" w:rsidP="00E73FBC">
      <w:pPr>
        <w:pStyle w:val="BodyText1"/>
        <w:rPr>
          <w:rFonts w:cs="Arial"/>
          <w:sz w:val="18"/>
          <w:lang w:val="cs-CZ"/>
        </w:rPr>
      </w:pPr>
    </w:p>
    <w:p w14:paraId="7271B684"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 xml:space="preserve">Banka v červenci působila jako poradce v oblasti Green </w:t>
      </w:r>
      <w:proofErr w:type="spellStart"/>
      <w:r w:rsidRPr="00515A39">
        <w:rPr>
          <w:rFonts w:cs="Arial"/>
          <w:sz w:val="18"/>
          <w:lang w:val="cs-CZ"/>
        </w:rPr>
        <w:t>Structuring</w:t>
      </w:r>
      <w:proofErr w:type="spellEnd"/>
      <w:r w:rsidRPr="00515A39">
        <w:rPr>
          <w:rFonts w:cs="Arial"/>
          <w:sz w:val="18"/>
          <w:lang w:val="cs-CZ"/>
        </w:rPr>
        <w:t xml:space="preserve"> a hlavní správce při emisi prvních světových dluhopisů ke snížení množství plastového odpadu pro německou firmu </w:t>
      </w:r>
      <w:proofErr w:type="spellStart"/>
      <w:r w:rsidRPr="00515A39">
        <w:rPr>
          <w:rFonts w:cs="Arial"/>
          <w:sz w:val="18"/>
          <w:lang w:val="cs-CZ"/>
        </w:rPr>
        <w:t>Henkel</w:t>
      </w:r>
      <w:proofErr w:type="spellEnd"/>
      <w:r w:rsidRPr="00515A39">
        <w:rPr>
          <w:rFonts w:cs="Arial"/>
          <w:sz w:val="18"/>
          <w:lang w:val="cs-CZ"/>
        </w:rPr>
        <w:t xml:space="preserve"> vyrábějící spotřební zboží.</w:t>
      </w:r>
    </w:p>
    <w:p w14:paraId="0F73C9D6"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HSBC hrála v červnu významnou roli ve financování projektu propojovacího vedení Viking Link, který umožní Spojenému království a Dánsku sdílet obnovitelnou energii prostřednictvím podmořského kabelu, částkou 743 milionů dolarů.</w:t>
      </w:r>
    </w:p>
    <w:p w14:paraId="6812CF29"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 xml:space="preserve">Banka v září pomohla firmám </w:t>
      </w:r>
      <w:proofErr w:type="spellStart"/>
      <w:r w:rsidRPr="00515A39">
        <w:rPr>
          <w:rFonts w:cs="Arial"/>
          <w:sz w:val="18"/>
          <w:lang w:val="cs-CZ"/>
        </w:rPr>
        <w:t>Burberry</w:t>
      </w:r>
      <w:proofErr w:type="spellEnd"/>
      <w:r w:rsidRPr="00515A39">
        <w:rPr>
          <w:rFonts w:cs="Arial"/>
          <w:sz w:val="18"/>
          <w:lang w:val="cs-CZ"/>
        </w:rPr>
        <w:t xml:space="preserve"> i Chanel uvést na trh jejich první dluhopisy zaměřené na udržitelnost, čímž se tyto dvě společnosti staly prvními luxusními značkami, které vstoupily na trh zelených dluhopisů.</w:t>
      </w:r>
    </w:p>
    <w:p w14:paraId="34A24F7B"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 xml:space="preserve">Společnost HSBC </w:t>
      </w:r>
      <w:proofErr w:type="spellStart"/>
      <w:r w:rsidRPr="00515A39">
        <w:rPr>
          <w:rFonts w:cs="Arial"/>
          <w:sz w:val="18"/>
          <w:lang w:val="cs-CZ"/>
        </w:rPr>
        <w:t>Global</w:t>
      </w:r>
      <w:proofErr w:type="spellEnd"/>
      <w:r w:rsidRPr="00515A39">
        <w:rPr>
          <w:rFonts w:cs="Arial"/>
          <w:sz w:val="18"/>
          <w:lang w:val="cs-CZ"/>
        </w:rPr>
        <w:t xml:space="preserve"> </w:t>
      </w:r>
      <w:proofErr w:type="spellStart"/>
      <w:r w:rsidRPr="00515A39">
        <w:rPr>
          <w:rFonts w:cs="Arial"/>
          <w:sz w:val="18"/>
          <w:lang w:val="cs-CZ"/>
        </w:rPr>
        <w:t>Asset</w:t>
      </w:r>
      <w:proofErr w:type="spellEnd"/>
      <w:r w:rsidRPr="00515A39">
        <w:rPr>
          <w:rFonts w:cs="Arial"/>
          <w:sz w:val="18"/>
          <w:lang w:val="cs-CZ"/>
        </w:rPr>
        <w:t xml:space="preserve"> Management spustila v loňském roce program Real </w:t>
      </w:r>
      <w:proofErr w:type="spellStart"/>
      <w:r w:rsidRPr="00515A39">
        <w:rPr>
          <w:rFonts w:cs="Arial"/>
          <w:sz w:val="18"/>
          <w:lang w:val="cs-CZ"/>
        </w:rPr>
        <w:t>Economy</w:t>
      </w:r>
      <w:proofErr w:type="spellEnd"/>
      <w:r w:rsidRPr="00515A39">
        <w:rPr>
          <w:rFonts w:cs="Arial"/>
          <w:sz w:val="18"/>
          <w:lang w:val="cs-CZ"/>
        </w:rPr>
        <w:t xml:space="preserve"> Green </w:t>
      </w:r>
      <w:proofErr w:type="spellStart"/>
      <w:r w:rsidRPr="00515A39">
        <w:rPr>
          <w:rFonts w:cs="Arial"/>
          <w:sz w:val="18"/>
          <w:lang w:val="cs-CZ"/>
        </w:rPr>
        <w:t>Investment</w:t>
      </w:r>
      <w:proofErr w:type="spellEnd"/>
      <w:r w:rsidRPr="00515A39">
        <w:rPr>
          <w:rFonts w:cs="Arial"/>
          <w:sz w:val="18"/>
          <w:lang w:val="cs-CZ"/>
        </w:rPr>
        <w:t xml:space="preserve"> </w:t>
      </w:r>
      <w:proofErr w:type="spellStart"/>
      <w:r w:rsidRPr="00515A39">
        <w:rPr>
          <w:rFonts w:cs="Arial"/>
          <w:sz w:val="18"/>
          <w:lang w:val="cs-CZ"/>
        </w:rPr>
        <w:t>Opportunity</w:t>
      </w:r>
      <w:proofErr w:type="spellEnd"/>
      <w:r w:rsidRPr="00515A39">
        <w:rPr>
          <w:rFonts w:cs="Arial"/>
          <w:sz w:val="18"/>
          <w:lang w:val="cs-CZ"/>
        </w:rPr>
        <w:t xml:space="preserve"> (REGIO), který investorům umožňuje sladit své finanční cíle s dopadem na reálnou ekonomiku tak, aby splňovali Pařížskou dohodu a cíle udržitelného rozvoje.</w:t>
      </w:r>
    </w:p>
    <w:p w14:paraId="51CFF7A0"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 xml:space="preserve">Banka se stala průkopníkem udržitelných dodavatelských řetězců, včetně partnerství s americkým maloobchodním gigantem </w:t>
      </w:r>
      <w:proofErr w:type="spellStart"/>
      <w:r w:rsidRPr="00515A39">
        <w:rPr>
          <w:rFonts w:cs="Arial"/>
          <w:sz w:val="18"/>
          <w:lang w:val="cs-CZ"/>
        </w:rPr>
        <w:t>Walmart</w:t>
      </w:r>
      <w:proofErr w:type="spellEnd"/>
      <w:r w:rsidRPr="00515A39">
        <w:rPr>
          <w:rFonts w:cs="Arial"/>
          <w:sz w:val="18"/>
          <w:lang w:val="cs-CZ"/>
        </w:rPr>
        <w:t xml:space="preserve"> a udržitelnými zařízeními SCF pro sportovní značku Puma, která zahrnuje dodavatele v 17 zemích po celém světě.</w:t>
      </w:r>
    </w:p>
    <w:p w14:paraId="325B9C14" w14:textId="77777777" w:rsidR="00E73FBC" w:rsidRPr="00515A39" w:rsidRDefault="00E73FBC" w:rsidP="00E73FBC">
      <w:pPr>
        <w:pStyle w:val="BodyText1"/>
        <w:rPr>
          <w:rFonts w:cs="Arial"/>
          <w:sz w:val="18"/>
          <w:lang w:val="cs-CZ"/>
        </w:rPr>
      </w:pPr>
      <w:r w:rsidRPr="00515A39">
        <w:rPr>
          <w:rFonts w:cs="Arial"/>
          <w:sz w:val="18"/>
          <w:lang w:val="cs-CZ"/>
        </w:rPr>
        <w:t xml:space="preserve">  </w:t>
      </w:r>
    </w:p>
    <w:p w14:paraId="7F7F74C4" w14:textId="77777777" w:rsidR="00E73FBC" w:rsidRPr="00515A39" w:rsidRDefault="00E73FBC" w:rsidP="00E73FBC">
      <w:pPr>
        <w:pStyle w:val="BodyText1"/>
        <w:rPr>
          <w:rFonts w:cs="Arial"/>
          <w:b/>
          <w:bCs/>
          <w:sz w:val="18"/>
          <w:lang w:val="cs-CZ"/>
        </w:rPr>
      </w:pPr>
      <w:r w:rsidRPr="00515A39">
        <w:rPr>
          <w:rFonts w:cs="Arial"/>
          <w:b/>
          <w:bCs/>
          <w:sz w:val="18"/>
          <w:lang w:val="cs-CZ"/>
        </w:rPr>
        <w:t>Pojmy a definice</w:t>
      </w:r>
    </w:p>
    <w:p w14:paraId="57AF8AAC" w14:textId="77777777" w:rsidR="00E73FBC" w:rsidRPr="00515A39" w:rsidRDefault="00E73FBC" w:rsidP="00E73FBC">
      <w:pPr>
        <w:pStyle w:val="BodyText1"/>
        <w:rPr>
          <w:rFonts w:cs="Arial"/>
          <w:sz w:val="18"/>
          <w:lang w:val="cs-CZ"/>
        </w:rPr>
      </w:pPr>
    </w:p>
    <w:p w14:paraId="0467D1EA" w14:textId="77777777" w:rsidR="00E73FBC" w:rsidRPr="00515A39" w:rsidRDefault="00E73FBC" w:rsidP="00E73FBC">
      <w:pPr>
        <w:pStyle w:val="BodyText1"/>
        <w:rPr>
          <w:rFonts w:cs="Arial"/>
          <w:sz w:val="18"/>
          <w:lang w:val="cs-CZ"/>
        </w:rPr>
      </w:pPr>
      <w:r w:rsidRPr="00515A39">
        <w:rPr>
          <w:rFonts w:cs="Arial"/>
          <w:sz w:val="18"/>
          <w:lang w:val="cs-CZ"/>
        </w:rPr>
        <w:lastRenderedPageBreak/>
        <w:t>•</w:t>
      </w:r>
      <w:r w:rsidRPr="00515A39">
        <w:rPr>
          <w:rFonts w:cs="Arial"/>
          <w:sz w:val="18"/>
          <w:lang w:val="cs-CZ"/>
        </w:rPr>
        <w:tab/>
        <w:t>Naše ambice poskytnout od 750 miliard do 1 bilionu dolarů ve financích a investicích na podporu našich zákazníků při jejich přechodu na podnikání s nulovou uhlíkovou stopou je rozšířením našeho závazku z roku 2017 poskytnout 100 miliard dolarů v oblasti udržitelného financování do roku 2025.</w:t>
      </w:r>
    </w:p>
    <w:p w14:paraId="1DECA0ED"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Ambice zahrnuje financování, zprostředkování a investiční aktivity HSBC a odráží agregaci finančních toků (objemu), kde se kritéria udržitelnosti uplatňují na financování, zprostředkování nebo investiční aktivity umožněné prostřednictvím obchodních a klientských vztahů HSBC.</w:t>
      </w:r>
    </w:p>
    <w:p w14:paraId="19E6704D" w14:textId="77777777" w:rsidR="00E73FBC" w:rsidRPr="00515A39" w:rsidRDefault="00E73FBC" w:rsidP="00E73FBC">
      <w:pPr>
        <w:pStyle w:val="BodyText1"/>
        <w:rPr>
          <w:rFonts w:cs="Arial"/>
          <w:sz w:val="18"/>
          <w:lang w:val="cs-CZ"/>
        </w:rPr>
      </w:pPr>
      <w:r w:rsidRPr="00515A39">
        <w:rPr>
          <w:rFonts w:cs="Arial"/>
          <w:sz w:val="18"/>
          <w:lang w:val="cs-CZ"/>
        </w:rPr>
        <w:t>•</w:t>
      </w:r>
      <w:r w:rsidRPr="00515A39">
        <w:rPr>
          <w:rFonts w:cs="Arial"/>
          <w:sz w:val="18"/>
          <w:lang w:val="cs-CZ"/>
        </w:rPr>
        <w:tab/>
        <w:t>Aktualizované definice budou zveřejněny na HSBC.com.</w:t>
      </w:r>
    </w:p>
    <w:p w14:paraId="386F0966" w14:textId="77777777" w:rsidR="00E73FBC" w:rsidRPr="00515A39" w:rsidRDefault="00E73FBC" w:rsidP="00E73FBC">
      <w:pPr>
        <w:pStyle w:val="BodyText1"/>
        <w:rPr>
          <w:rFonts w:cs="Arial"/>
          <w:sz w:val="18"/>
          <w:lang w:val="cs-CZ"/>
        </w:rPr>
      </w:pPr>
    </w:p>
    <w:p w14:paraId="16C85637" w14:textId="77777777" w:rsidR="00E73FBC" w:rsidRPr="00515A39" w:rsidRDefault="00E73FBC" w:rsidP="00E73FBC">
      <w:pPr>
        <w:pStyle w:val="BodyText1"/>
        <w:rPr>
          <w:rFonts w:cs="Arial"/>
          <w:b/>
          <w:bCs/>
          <w:sz w:val="18"/>
          <w:lang w:val="cs-CZ"/>
        </w:rPr>
      </w:pPr>
      <w:r w:rsidRPr="00515A39">
        <w:rPr>
          <w:rFonts w:cs="Arial"/>
          <w:b/>
          <w:bCs/>
          <w:sz w:val="18"/>
          <w:lang w:val="cs-CZ"/>
        </w:rPr>
        <w:t xml:space="preserve">Prohlášení </w:t>
      </w:r>
    </w:p>
    <w:p w14:paraId="1EA02C63" w14:textId="77777777" w:rsidR="00E73FBC" w:rsidRPr="00515A39" w:rsidRDefault="00E73FBC" w:rsidP="00E73FBC">
      <w:pPr>
        <w:pStyle w:val="BodyText1"/>
        <w:rPr>
          <w:rFonts w:cs="Arial"/>
          <w:sz w:val="18"/>
          <w:lang w:val="cs-CZ"/>
        </w:rPr>
      </w:pPr>
    </w:p>
    <w:p w14:paraId="01D3927B" w14:textId="77777777" w:rsidR="00E73FBC" w:rsidRPr="00515A39" w:rsidRDefault="00E73FBC" w:rsidP="00E73FBC">
      <w:pPr>
        <w:pStyle w:val="BodyText1"/>
        <w:rPr>
          <w:rFonts w:cs="Arial"/>
          <w:sz w:val="18"/>
          <w:lang w:val="cs-CZ"/>
        </w:rPr>
      </w:pPr>
      <w:r w:rsidRPr="00515A39">
        <w:rPr>
          <w:rFonts w:cs="Arial"/>
          <w:sz w:val="18"/>
          <w:lang w:val="cs-CZ"/>
        </w:rPr>
        <w:t xml:space="preserve">Toto sdělení obsahuje historická i výhledová prohlášení. Veškerá jiná </w:t>
      </w:r>
      <w:proofErr w:type="gramStart"/>
      <w:r w:rsidRPr="00515A39">
        <w:rPr>
          <w:rFonts w:cs="Arial"/>
          <w:sz w:val="18"/>
          <w:lang w:val="cs-CZ"/>
        </w:rPr>
        <w:t>tvrzení</w:t>
      </w:r>
      <w:proofErr w:type="gramEnd"/>
      <w:r w:rsidRPr="00515A39">
        <w:rPr>
          <w:rFonts w:cs="Arial"/>
          <w:sz w:val="18"/>
          <w:lang w:val="cs-CZ"/>
        </w:rPr>
        <w:t xml:space="preserve"> než historická fakta jsou nebo mohou být považována za výhledová. Výroky týkající se budoucnosti mohou být identifikovány použitím výrazů jako „může“, „zamýšlí“, „cíle“, „ambice“, „plán“, „cíl“, „vůle“, „má být“, „možný“, „přiměřeně možný“ nebo „předpokládá“ nebo jejich opačných či podobných výrazů nebo diskusí o strategii. K těmto výhledovým prohlášením patří prohlášení o tom, že se staneme bankou s čistou nulovou uhlíkovou stopou, podpoříme naše zákazníky při přechodu na nízkouhlíkové hospodářství a budeme hledat nová řešení, jak pomoci životnímu prostředí.</w:t>
      </w:r>
    </w:p>
    <w:p w14:paraId="2CA73B39" w14:textId="77777777" w:rsidR="00E73FBC" w:rsidRPr="00515A39" w:rsidRDefault="00E73FBC" w:rsidP="00E73FBC">
      <w:pPr>
        <w:pStyle w:val="BodyText1"/>
        <w:rPr>
          <w:rFonts w:cs="Arial"/>
          <w:sz w:val="18"/>
          <w:lang w:val="cs-CZ"/>
        </w:rPr>
      </w:pPr>
    </w:p>
    <w:p w14:paraId="2697B893" w14:textId="77777777" w:rsidR="00E73FBC" w:rsidRPr="00515A39" w:rsidRDefault="00E73FBC" w:rsidP="00E73FBC">
      <w:pPr>
        <w:pStyle w:val="BodyText1"/>
        <w:rPr>
          <w:rFonts w:cs="Arial"/>
          <w:sz w:val="18"/>
          <w:lang w:val="cs-CZ"/>
        </w:rPr>
      </w:pPr>
      <w:r w:rsidRPr="00515A39">
        <w:rPr>
          <w:rFonts w:cs="Arial"/>
          <w:sz w:val="18"/>
          <w:lang w:val="cs-CZ"/>
        </w:rPr>
        <w:t>Dosažení těchto cílů je ze své podstaty nejisté a podléhá řadě rizik a nejistot, včetně vlivu různých vládních opatření, chování zákazníků a aktivit HSBC při zmírňování klimatické změny; společenským posunům ve financování klientů a jejich investičních potřebách; zpoždění v tempu změn; vývoji a využívání nových technologií; schopnosti využívat růstových nebo investičních příležitostí; změnám očekávání veřejnosti a dalším změnám obchodních podmínek; nepříznivým změnám v rámci regulace oblastí „</w:t>
      </w:r>
      <w:proofErr w:type="spellStart"/>
      <w:r w:rsidRPr="00515A39">
        <w:rPr>
          <w:rFonts w:cs="Arial"/>
          <w:sz w:val="18"/>
          <w:lang w:val="cs-CZ"/>
        </w:rPr>
        <w:t>Cautionary</w:t>
      </w:r>
      <w:proofErr w:type="spellEnd"/>
      <w:r w:rsidRPr="00515A39">
        <w:rPr>
          <w:rFonts w:cs="Arial"/>
          <w:sz w:val="18"/>
          <w:lang w:val="cs-CZ"/>
        </w:rPr>
        <w:t xml:space="preserve"> </w:t>
      </w:r>
      <w:proofErr w:type="spellStart"/>
      <w:r w:rsidRPr="00515A39">
        <w:rPr>
          <w:rFonts w:cs="Arial"/>
          <w:sz w:val="18"/>
          <w:lang w:val="cs-CZ"/>
        </w:rPr>
        <w:t>statement</w:t>
      </w:r>
      <w:proofErr w:type="spellEnd"/>
      <w:r w:rsidRPr="00515A39">
        <w:rPr>
          <w:rFonts w:cs="Arial"/>
          <w:sz w:val="18"/>
          <w:lang w:val="cs-CZ"/>
        </w:rPr>
        <w:t xml:space="preserve"> </w:t>
      </w:r>
      <w:proofErr w:type="spellStart"/>
      <w:r w:rsidRPr="00515A39">
        <w:rPr>
          <w:rFonts w:cs="Arial"/>
          <w:sz w:val="18"/>
          <w:lang w:val="cs-CZ"/>
        </w:rPr>
        <w:t>regarding</w:t>
      </w:r>
      <w:proofErr w:type="spellEnd"/>
      <w:r w:rsidRPr="00515A39">
        <w:rPr>
          <w:rFonts w:cs="Arial"/>
          <w:sz w:val="18"/>
          <w:lang w:val="cs-CZ"/>
        </w:rPr>
        <w:t xml:space="preserve"> forward-</w:t>
      </w:r>
      <w:proofErr w:type="spellStart"/>
      <w:r w:rsidRPr="00515A39">
        <w:rPr>
          <w:rFonts w:cs="Arial"/>
          <w:sz w:val="18"/>
          <w:lang w:val="cs-CZ"/>
        </w:rPr>
        <w:t>looking</w:t>
      </w:r>
      <w:proofErr w:type="spellEnd"/>
      <w:r w:rsidRPr="00515A39">
        <w:rPr>
          <w:rFonts w:cs="Arial"/>
          <w:sz w:val="18"/>
          <w:lang w:val="cs-CZ"/>
        </w:rPr>
        <w:t xml:space="preserve"> </w:t>
      </w:r>
      <w:proofErr w:type="spellStart"/>
      <w:r w:rsidRPr="00515A39">
        <w:rPr>
          <w:rFonts w:cs="Arial"/>
          <w:sz w:val="18"/>
          <w:lang w:val="cs-CZ"/>
        </w:rPr>
        <w:t>statements</w:t>
      </w:r>
      <w:proofErr w:type="spellEnd"/>
      <w:r w:rsidRPr="00515A39">
        <w:rPr>
          <w:rFonts w:cs="Arial"/>
          <w:sz w:val="18"/>
          <w:lang w:val="cs-CZ"/>
        </w:rPr>
        <w:t xml:space="preserve">“ a „Risk </w:t>
      </w:r>
      <w:proofErr w:type="spellStart"/>
      <w:r w:rsidRPr="00515A39">
        <w:rPr>
          <w:rFonts w:cs="Arial"/>
          <w:sz w:val="18"/>
          <w:lang w:val="cs-CZ"/>
        </w:rPr>
        <w:t>factors</w:t>
      </w:r>
      <w:proofErr w:type="spellEnd"/>
      <w:r w:rsidRPr="00515A39">
        <w:rPr>
          <w:rFonts w:cs="Arial"/>
          <w:sz w:val="18"/>
          <w:lang w:val="cs-CZ"/>
        </w:rPr>
        <w:t xml:space="preserve">“ obsažených ve výroční zprávě HSBC </w:t>
      </w:r>
      <w:proofErr w:type="spellStart"/>
      <w:r w:rsidRPr="00515A39">
        <w:rPr>
          <w:rFonts w:cs="Arial"/>
          <w:sz w:val="18"/>
          <w:lang w:val="cs-CZ"/>
        </w:rPr>
        <w:t>Holdings</w:t>
      </w:r>
      <w:proofErr w:type="spellEnd"/>
      <w:r w:rsidRPr="00515A39">
        <w:rPr>
          <w:rFonts w:cs="Arial"/>
          <w:sz w:val="18"/>
          <w:lang w:val="cs-CZ"/>
        </w:rPr>
        <w:t xml:space="preserve"> </w:t>
      </w:r>
      <w:proofErr w:type="spellStart"/>
      <w:r w:rsidRPr="00515A39">
        <w:rPr>
          <w:rFonts w:cs="Arial"/>
          <w:sz w:val="18"/>
          <w:lang w:val="cs-CZ"/>
        </w:rPr>
        <w:t>plc</w:t>
      </w:r>
      <w:proofErr w:type="spellEnd"/>
      <w:r w:rsidRPr="00515A39">
        <w:rPr>
          <w:rFonts w:cs="Arial"/>
          <w:sz w:val="18"/>
          <w:lang w:val="cs-CZ"/>
        </w:rPr>
        <w:t xml:space="preserve"> k formuláři 20-F za rok končící 31. prosince 2019, podané k SEC dne 19. února 2020 (dále jen „formulář 20-F 2019“), a v dalších zprávách k formuláři 6-K, které byly předány nebo podány k SEC po formuláři 20-F pro rok 2019 („následný formulář 6-Ks“). Společnost HSBC </w:t>
      </w:r>
      <w:proofErr w:type="spellStart"/>
      <w:r w:rsidRPr="00515A39">
        <w:rPr>
          <w:rFonts w:cs="Arial"/>
          <w:sz w:val="18"/>
          <w:lang w:val="cs-CZ"/>
        </w:rPr>
        <w:t>Holdings</w:t>
      </w:r>
      <w:proofErr w:type="spellEnd"/>
      <w:r w:rsidRPr="00515A39">
        <w:rPr>
          <w:rFonts w:cs="Arial"/>
          <w:sz w:val="18"/>
          <w:lang w:val="cs-CZ"/>
        </w:rPr>
        <w:t xml:space="preserve"> </w:t>
      </w:r>
      <w:proofErr w:type="spellStart"/>
      <w:r w:rsidRPr="00515A39">
        <w:rPr>
          <w:rFonts w:cs="Arial"/>
          <w:sz w:val="18"/>
          <w:lang w:val="cs-CZ"/>
        </w:rPr>
        <w:t>plc</w:t>
      </w:r>
      <w:proofErr w:type="spellEnd"/>
      <w:r w:rsidRPr="00515A39">
        <w:rPr>
          <w:rFonts w:cs="Arial"/>
          <w:sz w:val="18"/>
          <w:lang w:val="cs-CZ"/>
        </w:rPr>
        <w:t xml:space="preserve"> se nezavazuje veřejně aktualizovat nebo revidovat jakákoli výhledová prohlášení, ať už v důsledku nových informací, budoucích událostí, či jinak. Vzhledem k těmto rizikům, nejistotám a předpokladům nemusí nastat zde zmíněné výhledové události. Investoři by se tedy neměli spoléhat na žádná výhledová prohlášení, která jsou založena na současných faktech. Další informace, včetně informací o faktorech, které mohou ovlivnit činnost skupiny HSBC, jsou uvedeny ve formuláři 20-F pro rok 2019 a v následném formuláři 6-Ks.</w:t>
      </w:r>
    </w:p>
    <w:p w14:paraId="2590B918" w14:textId="77777777" w:rsidR="00E73FBC" w:rsidRPr="00515A39" w:rsidRDefault="00E73FBC" w:rsidP="00E73FBC">
      <w:pPr>
        <w:pStyle w:val="BodyText1"/>
        <w:rPr>
          <w:rFonts w:cs="Arial"/>
          <w:sz w:val="18"/>
          <w:lang w:val="cs-CZ"/>
        </w:rPr>
      </w:pPr>
    </w:p>
    <w:p w14:paraId="3C199174" w14:textId="77777777" w:rsidR="00E73FBC" w:rsidRPr="00515A39" w:rsidRDefault="00E73FBC" w:rsidP="00E73FBC">
      <w:pPr>
        <w:pStyle w:val="BodyText1"/>
        <w:rPr>
          <w:rFonts w:cs="Arial"/>
          <w:sz w:val="18"/>
          <w:lang w:val="cs-CZ"/>
        </w:rPr>
      </w:pPr>
    </w:p>
    <w:p w14:paraId="3BEDF0C6" w14:textId="77777777" w:rsidR="00E73FBC" w:rsidRPr="00515A39" w:rsidRDefault="00E73FBC" w:rsidP="00E73FBC">
      <w:pPr>
        <w:pStyle w:val="Bodytext9pt"/>
        <w:rPr>
          <w:rFonts w:cs="Arial"/>
          <w:lang w:val="cs-CZ"/>
        </w:rPr>
      </w:pPr>
    </w:p>
    <w:p w14:paraId="5C26E3CB" w14:textId="2E2B0A96" w:rsidR="00AB4FE4" w:rsidRPr="00515A39" w:rsidRDefault="00AB4FE4" w:rsidP="00E73FBC">
      <w:pPr>
        <w:pStyle w:val="Default"/>
        <w:rPr>
          <w:color w:val="auto"/>
          <w:sz w:val="18"/>
          <w:szCs w:val="18"/>
          <w:lang w:val="cs-CZ"/>
        </w:rPr>
      </w:pPr>
    </w:p>
    <w:sectPr w:rsidR="00AB4FE4" w:rsidRPr="00515A39" w:rsidSect="00466421">
      <w:headerReference w:type="even" r:id="rId9"/>
      <w:footerReference w:type="default" r:id="rId10"/>
      <w:headerReference w:type="first" r:id="rId11"/>
      <w:footerReference w:type="first" r:id="rId12"/>
      <w:pgSz w:w="11906" w:h="16838" w:code="9"/>
      <w:pgMar w:top="1080" w:right="2096" w:bottom="1936" w:left="1530" w:header="720" w:footer="12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028CF" w14:textId="77777777" w:rsidR="00A51A1D" w:rsidRDefault="00A51A1D">
      <w:r>
        <w:separator/>
      </w:r>
    </w:p>
  </w:endnote>
  <w:endnote w:type="continuationSeparator" w:id="0">
    <w:p w14:paraId="046BA26A" w14:textId="77777777" w:rsidR="00A51A1D" w:rsidRDefault="00A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LT Std 45 Light">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0002AFF" w:usb1="C000ACFF" w:usb2="00000009" w:usb3="00000000" w:csb0="000001FF" w:csb1="00000000"/>
  </w:font>
  <w:font w:name="Univers Next for HSBC Light">
    <w:altName w:val="Calibri"/>
    <w:panose1 w:val="020B06040202020202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Univers Next for HSBC Regular">
    <w:altName w:val="Calibri"/>
    <w:panose1 w:val="020B0604020202020204"/>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34A6" w14:textId="77777777" w:rsidR="00045A78" w:rsidRDefault="00045A78">
    <w:pPr>
      <w:pStyle w:val="Footer"/>
      <w:rPr>
        <w:i/>
        <w:sz w:val="16"/>
      </w:rPr>
    </w:pPr>
    <w:r>
      <w:rPr>
        <w:sz w:val="16"/>
      </w:rPr>
      <w:tab/>
    </w:r>
    <w:r>
      <w:rPr>
        <w:sz w:val="16"/>
      </w:rPr>
      <w:tab/>
    </w:r>
  </w:p>
  <w:p w14:paraId="5169C87A" w14:textId="77777777" w:rsidR="00045A78" w:rsidRDefault="00045A78">
    <w:pPr>
      <w:pStyle w:val="Footer"/>
      <w:rPr>
        <w:b/>
        <w:sz w:val="24"/>
      </w:rPr>
    </w:pPr>
    <w:r>
      <w:rPr>
        <w:b/>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3365" w14:textId="77777777" w:rsidR="00045A78" w:rsidRDefault="00B90CB3" w:rsidP="00466421">
    <w:pPr>
      <w:pStyle w:val="Footer"/>
      <w:tabs>
        <w:tab w:val="clear" w:pos="4153"/>
        <w:tab w:val="clear" w:pos="8306"/>
        <w:tab w:val="left" w:pos="3312"/>
      </w:tabs>
    </w:pPr>
    <w:r>
      <w:rPr>
        <w:noProof/>
        <w:lang w:val="en-US"/>
      </w:rPr>
      <mc:AlternateContent>
        <mc:Choice Requires="wps">
          <w:drawing>
            <wp:anchor distT="0" distB="0" distL="114300" distR="114300" simplePos="0" relativeHeight="251657728" behindDoc="0" locked="0" layoutInCell="1" allowOverlap="1" wp14:anchorId="20900427" wp14:editId="4FFC0543">
              <wp:simplePos x="0" y="0"/>
              <wp:positionH relativeFrom="column">
                <wp:posOffset>2737485</wp:posOffset>
              </wp:positionH>
              <wp:positionV relativeFrom="paragraph">
                <wp:posOffset>-146050</wp:posOffset>
              </wp:positionV>
              <wp:extent cx="2976245" cy="1239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6245"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469C" w14:textId="77777777" w:rsidR="00466421" w:rsidRDefault="006556D4" w:rsidP="006556D4">
                          <w:pPr>
                            <w:rPr>
                              <w:sz w:val="14"/>
                              <w:szCs w:val="14"/>
                            </w:rPr>
                          </w:pPr>
                          <w:r w:rsidRPr="00D836CD">
                            <w:rPr>
                              <w:b/>
                              <w:sz w:val="14"/>
                              <w:szCs w:val="14"/>
                            </w:rPr>
                            <w:t xml:space="preserve">HSBC FRANCE </w:t>
                          </w:r>
                          <w:r w:rsidRPr="00D836CD">
                            <w:rPr>
                              <w:sz w:val="14"/>
                              <w:szCs w:val="14"/>
                            </w:rPr>
                            <w:t>jednající prostřednictvím</w:t>
                          </w:r>
                          <w:r w:rsidRPr="00D836CD">
                            <w:rPr>
                              <w:b/>
                              <w:sz w:val="14"/>
                              <w:szCs w:val="14"/>
                            </w:rPr>
                            <w:t xml:space="preserve"> HSBC </w:t>
                          </w:r>
                          <w:r w:rsidR="00466421" w:rsidRPr="00D836CD">
                            <w:rPr>
                              <w:b/>
                              <w:sz w:val="14"/>
                              <w:szCs w:val="14"/>
                            </w:rPr>
                            <w:t>France – pobočka</w:t>
                          </w:r>
                          <w:r w:rsidRPr="00D836CD">
                            <w:rPr>
                              <w:b/>
                              <w:sz w:val="14"/>
                              <w:szCs w:val="14"/>
                            </w:rPr>
                            <w:t xml:space="preserve"> Praha </w:t>
                          </w:r>
                          <w:r w:rsidRPr="00D836CD">
                            <w:rPr>
                              <w:sz w:val="14"/>
                              <w:szCs w:val="14"/>
                            </w:rPr>
                            <w:br/>
                            <w:t xml:space="preserve">Na Florenci 2116/15, Nové Město, 110 </w:t>
                          </w:r>
                          <w:r w:rsidR="00466421" w:rsidRPr="00D836CD">
                            <w:rPr>
                              <w:sz w:val="14"/>
                              <w:szCs w:val="14"/>
                            </w:rPr>
                            <w:t>00 Praha</w:t>
                          </w:r>
                          <w:r w:rsidRPr="00D836CD">
                            <w:rPr>
                              <w:sz w:val="14"/>
                              <w:szCs w:val="14"/>
                            </w:rPr>
                            <w:t xml:space="preserve"> 1, Česká republika, </w:t>
                          </w:r>
                        </w:p>
                        <w:p w14:paraId="0538C4D7" w14:textId="61775634" w:rsidR="006556D4" w:rsidRPr="00D836CD" w:rsidRDefault="006556D4" w:rsidP="006556D4">
                          <w:pPr>
                            <w:rPr>
                              <w:sz w:val="14"/>
                              <w:szCs w:val="14"/>
                            </w:rPr>
                          </w:pPr>
                          <w:r w:rsidRPr="00D836CD">
                            <w:rPr>
                              <w:sz w:val="14"/>
                              <w:szCs w:val="14"/>
                            </w:rPr>
                            <w:t xml:space="preserve">IČ: 07482728 </w:t>
                          </w:r>
                          <w:r w:rsidRPr="00D836CD">
                            <w:rPr>
                              <w:sz w:val="14"/>
                              <w:szCs w:val="14"/>
                            </w:rPr>
                            <w:br/>
                            <w:t xml:space="preserve">Tel.: (+420) 225 024 555, </w:t>
                          </w:r>
                          <w:r w:rsidR="00FC04A8">
                            <w:rPr>
                              <w:sz w:val="14"/>
                              <w:szCs w:val="14"/>
                            </w:rPr>
                            <w:t>f</w:t>
                          </w:r>
                          <w:r w:rsidRPr="00D836CD">
                            <w:rPr>
                              <w:sz w:val="14"/>
                              <w:szCs w:val="14"/>
                            </w:rPr>
                            <w:t>ax: (+420) 225 024 550, www.hsbc.cz</w:t>
                          </w:r>
                        </w:p>
                        <w:p w14:paraId="6DE415D7" w14:textId="3A32E9A0" w:rsidR="00045A78" w:rsidRPr="00466421" w:rsidRDefault="006556D4" w:rsidP="00466421">
                          <w:pPr>
                            <w:pStyle w:val="Footer"/>
                            <w:rPr>
                              <w:rFonts w:ascii="Univers Next for HSBC Regular" w:hAnsi="Univers Next for HSBC Regular" w:cs="Arial"/>
                            </w:rPr>
                          </w:pPr>
                          <w:r w:rsidRPr="00A133D4">
                            <w:rPr>
                              <w:rFonts w:ascii="Univers Next for HSBC Regular" w:hAnsi="Univers Next for HSBC Regular" w:cs="Arial"/>
                              <w:i/>
                              <w:sz w:val="14"/>
                              <w:szCs w:val="14"/>
                            </w:rPr>
                            <w:t xml:space="preserve">HSBC </w:t>
                          </w:r>
                          <w:r w:rsidR="00466421" w:rsidRPr="00A133D4">
                            <w:rPr>
                              <w:rFonts w:ascii="Univers Next for HSBC Regular" w:hAnsi="Univers Next for HSBC Regular" w:cs="Arial"/>
                              <w:i/>
                              <w:sz w:val="14"/>
                              <w:szCs w:val="14"/>
                            </w:rPr>
                            <w:t>France – pobočka</w:t>
                          </w:r>
                          <w:r w:rsidRPr="00A133D4">
                            <w:rPr>
                              <w:rFonts w:ascii="Univers Next for HSBC Regular" w:hAnsi="Univers Next for HSBC Regular" w:cs="Arial"/>
                              <w:i/>
                              <w:sz w:val="14"/>
                              <w:szCs w:val="14"/>
                            </w:rPr>
                            <w:t xml:space="preserve"> Praha zapsaná v obchodním rejstříku vedeném Městským soudem v Praze, oddíl A, vložka 78901, jako pobočka </w:t>
                          </w:r>
                          <w:r w:rsidRPr="00A133D4">
                            <w:rPr>
                              <w:rFonts w:ascii="Univers Next for HSBC Regular" w:hAnsi="Univers Next for HSBC Regular" w:cs="Arial"/>
                              <w:i/>
                              <w:sz w:val="14"/>
                              <w:szCs w:val="14"/>
                            </w:rPr>
                            <w:br/>
                            <w:t>HSBC FRANCE (registrační číslo 775 670</w:t>
                          </w:r>
                          <w:r w:rsidRPr="00A133D4">
                            <w:rPr>
                              <w:rFonts w:ascii="Univers Next for HSBC Regular" w:eastAsia="MS Mincho" w:hAnsi="Univers Next for HSBC Regular" w:cs="Arial"/>
                              <w:i/>
                              <w:color w:val="000000"/>
                              <w:sz w:val="14"/>
                              <w:szCs w:val="14"/>
                            </w:rPr>
                            <w:t xml:space="preserve"> 284 RCS Paris),</w:t>
                          </w:r>
                          <w:r w:rsidRPr="00A133D4">
                            <w:rPr>
                              <w:rFonts w:ascii="Univers Next for HSBC Regular" w:hAnsi="Univers Next for HSBC Regular" w:cs="Arial"/>
                              <w:i/>
                              <w:sz w:val="14"/>
                              <w:szCs w:val="14"/>
                            </w:rPr>
                            <w:t xml:space="preserve"> se sídlem 103, avenue des </w:t>
                          </w:r>
                          <w:proofErr w:type="spellStart"/>
                          <w:r w:rsidRPr="00A133D4">
                            <w:rPr>
                              <w:rFonts w:ascii="Univers Next for HSBC Regular" w:hAnsi="Univers Next for HSBC Regular" w:cs="Arial"/>
                              <w:i/>
                              <w:sz w:val="14"/>
                              <w:szCs w:val="14"/>
                            </w:rPr>
                            <w:t>Champs-</w:t>
                          </w:r>
                          <w:r w:rsidR="00FC04A8">
                            <w:rPr>
                              <w:rFonts w:ascii="Univers Next for HSBC Regular" w:hAnsi="Univers Next for HSBC Regular" w:cs="Arial"/>
                              <w:i/>
                              <w:sz w:val="14"/>
                              <w:szCs w:val="14"/>
                            </w:rPr>
                            <w:t>É</w:t>
                          </w:r>
                          <w:r w:rsidRPr="00A133D4">
                            <w:rPr>
                              <w:rFonts w:ascii="Univers Next for HSBC Regular" w:hAnsi="Univers Next for HSBC Regular" w:cs="Arial"/>
                              <w:i/>
                              <w:sz w:val="14"/>
                              <w:szCs w:val="14"/>
                            </w:rPr>
                            <w:t>lysées</w:t>
                          </w:r>
                          <w:proofErr w:type="spellEnd"/>
                          <w:r w:rsidRPr="00A133D4">
                            <w:rPr>
                              <w:rFonts w:ascii="Univers Next for HSBC Regular" w:hAnsi="Univers Next for HSBC Regular" w:cs="Arial"/>
                              <w:i/>
                              <w:sz w:val="14"/>
                              <w:szCs w:val="14"/>
                            </w:rPr>
                            <w:t>, 75008 Paříž, Francie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00427" id="_x0000_t202" coordsize="21600,21600" o:spt="202" path="m,l,21600r21600,l21600,xe">
              <v:stroke joinstyle="miter"/>
              <v:path gradientshapeok="t" o:connecttype="rect"/>
            </v:shapetype>
            <v:shape id="Text Box 2" o:spid="_x0000_s1027" type="#_x0000_t202" style="position:absolute;margin-left:215.55pt;margin-top:-11.5pt;width:234.35pt;height:9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" filled="f" stroked="f">
              <v:path arrowok="t"/>
              <v:textbox>
                <w:txbxContent>
                  <w:p w14:paraId="5683469C" w14:textId="77777777" w:rsidR="00466421" w:rsidRDefault="006556D4" w:rsidP="006556D4">
                    <w:pPr>
                      <w:rPr>
                        <w:sz w:val="14"/>
                        <w:szCs w:val="14"/>
                      </w:rPr>
                    </w:pPr>
                    <w:r w:rsidRPr="00D836CD">
                      <w:rPr>
                        <w:b/>
                        <w:sz w:val="14"/>
                        <w:szCs w:val="14"/>
                      </w:rPr>
                      <w:t xml:space="preserve">HSBC FRANCE </w:t>
                    </w:r>
                    <w:r w:rsidRPr="00D836CD">
                      <w:rPr>
                        <w:sz w:val="14"/>
                        <w:szCs w:val="14"/>
                      </w:rPr>
                      <w:t>jednající prostřednictvím</w:t>
                    </w:r>
                    <w:r w:rsidRPr="00D836CD">
                      <w:rPr>
                        <w:b/>
                        <w:sz w:val="14"/>
                        <w:szCs w:val="14"/>
                      </w:rPr>
                      <w:t xml:space="preserve"> HSBC </w:t>
                    </w:r>
                    <w:r w:rsidR="00466421" w:rsidRPr="00D836CD">
                      <w:rPr>
                        <w:b/>
                        <w:sz w:val="14"/>
                        <w:szCs w:val="14"/>
                      </w:rPr>
                      <w:t>France – pobočka</w:t>
                    </w:r>
                    <w:r w:rsidRPr="00D836CD">
                      <w:rPr>
                        <w:b/>
                        <w:sz w:val="14"/>
                        <w:szCs w:val="14"/>
                      </w:rPr>
                      <w:t xml:space="preserve"> Praha </w:t>
                    </w:r>
                    <w:r w:rsidRPr="00D836CD">
                      <w:rPr>
                        <w:sz w:val="14"/>
                        <w:szCs w:val="14"/>
                      </w:rPr>
                      <w:br/>
                      <w:t xml:space="preserve">Na Florenci 2116/15, Nové Město, 110 </w:t>
                    </w:r>
                    <w:r w:rsidR="00466421" w:rsidRPr="00D836CD">
                      <w:rPr>
                        <w:sz w:val="14"/>
                        <w:szCs w:val="14"/>
                      </w:rPr>
                      <w:t>00 Praha</w:t>
                    </w:r>
                    <w:r w:rsidRPr="00D836CD">
                      <w:rPr>
                        <w:sz w:val="14"/>
                        <w:szCs w:val="14"/>
                      </w:rPr>
                      <w:t xml:space="preserve"> 1, Česká republika, </w:t>
                    </w:r>
                  </w:p>
                  <w:p w14:paraId="0538C4D7" w14:textId="61775634" w:rsidR="006556D4" w:rsidRPr="00D836CD" w:rsidRDefault="006556D4" w:rsidP="006556D4">
                    <w:pPr>
                      <w:rPr>
                        <w:sz w:val="14"/>
                        <w:szCs w:val="14"/>
                      </w:rPr>
                    </w:pPr>
                    <w:r w:rsidRPr="00D836CD">
                      <w:rPr>
                        <w:sz w:val="14"/>
                        <w:szCs w:val="14"/>
                      </w:rPr>
                      <w:t xml:space="preserve">IČ: 07482728 </w:t>
                    </w:r>
                    <w:r w:rsidRPr="00D836CD">
                      <w:rPr>
                        <w:sz w:val="14"/>
                        <w:szCs w:val="14"/>
                      </w:rPr>
                      <w:br/>
                      <w:t xml:space="preserve">Tel.: (+420) 225 024 555, </w:t>
                    </w:r>
                    <w:r w:rsidR="00FC04A8">
                      <w:rPr>
                        <w:sz w:val="14"/>
                        <w:szCs w:val="14"/>
                      </w:rPr>
                      <w:t>f</w:t>
                    </w:r>
                    <w:r w:rsidRPr="00D836CD">
                      <w:rPr>
                        <w:sz w:val="14"/>
                        <w:szCs w:val="14"/>
                      </w:rPr>
                      <w:t>ax: (+420) 225 024 550, www.hsbc.cz</w:t>
                    </w:r>
                  </w:p>
                  <w:p w14:paraId="6DE415D7" w14:textId="3A32E9A0" w:rsidR="00045A78" w:rsidRPr="00466421" w:rsidRDefault="006556D4" w:rsidP="00466421">
                    <w:pPr>
                      <w:pStyle w:val="Footer"/>
                      <w:rPr>
                        <w:rFonts w:ascii="Univers Next for HSBC Regular" w:hAnsi="Univers Next for HSBC Regular" w:cs="Arial"/>
                      </w:rPr>
                    </w:pPr>
                    <w:r w:rsidRPr="00A133D4">
                      <w:rPr>
                        <w:rFonts w:ascii="Univers Next for HSBC Regular" w:hAnsi="Univers Next for HSBC Regular" w:cs="Arial"/>
                        <w:i/>
                        <w:sz w:val="14"/>
                        <w:szCs w:val="14"/>
                      </w:rPr>
                      <w:t xml:space="preserve">HSBC </w:t>
                    </w:r>
                    <w:r w:rsidR="00466421" w:rsidRPr="00A133D4">
                      <w:rPr>
                        <w:rFonts w:ascii="Univers Next for HSBC Regular" w:hAnsi="Univers Next for HSBC Regular" w:cs="Arial"/>
                        <w:i/>
                        <w:sz w:val="14"/>
                        <w:szCs w:val="14"/>
                      </w:rPr>
                      <w:t>France – pobočka</w:t>
                    </w:r>
                    <w:r w:rsidRPr="00A133D4">
                      <w:rPr>
                        <w:rFonts w:ascii="Univers Next for HSBC Regular" w:hAnsi="Univers Next for HSBC Regular" w:cs="Arial"/>
                        <w:i/>
                        <w:sz w:val="14"/>
                        <w:szCs w:val="14"/>
                      </w:rPr>
                      <w:t xml:space="preserve"> Praha zapsaná v obchodním rejstříku vedeném Městským soudem v Praze, oddíl A, vložka 78901, jako pobočka </w:t>
                    </w:r>
                    <w:r w:rsidRPr="00A133D4">
                      <w:rPr>
                        <w:rFonts w:ascii="Univers Next for HSBC Regular" w:hAnsi="Univers Next for HSBC Regular" w:cs="Arial"/>
                        <w:i/>
                        <w:sz w:val="14"/>
                        <w:szCs w:val="14"/>
                      </w:rPr>
                      <w:br/>
                      <w:t>HSBC FRANCE (registrační číslo 775 670</w:t>
                    </w:r>
                    <w:r w:rsidRPr="00A133D4">
                      <w:rPr>
                        <w:rFonts w:ascii="Univers Next for HSBC Regular" w:eastAsia="MS Mincho" w:hAnsi="Univers Next for HSBC Regular" w:cs="Arial"/>
                        <w:i/>
                        <w:color w:val="000000"/>
                        <w:sz w:val="14"/>
                        <w:szCs w:val="14"/>
                      </w:rPr>
                      <w:t xml:space="preserve"> 284 RCS Paris),</w:t>
                    </w:r>
                    <w:r w:rsidRPr="00A133D4">
                      <w:rPr>
                        <w:rFonts w:ascii="Univers Next for HSBC Regular" w:hAnsi="Univers Next for HSBC Regular" w:cs="Arial"/>
                        <w:i/>
                        <w:sz w:val="14"/>
                        <w:szCs w:val="14"/>
                      </w:rPr>
                      <w:t xml:space="preserve"> se sídlem 103, avenue des </w:t>
                    </w:r>
                    <w:proofErr w:type="spellStart"/>
                    <w:r w:rsidRPr="00A133D4">
                      <w:rPr>
                        <w:rFonts w:ascii="Univers Next for HSBC Regular" w:hAnsi="Univers Next for HSBC Regular" w:cs="Arial"/>
                        <w:i/>
                        <w:sz w:val="14"/>
                        <w:szCs w:val="14"/>
                      </w:rPr>
                      <w:t>Champs-</w:t>
                    </w:r>
                    <w:r w:rsidR="00FC04A8">
                      <w:rPr>
                        <w:rFonts w:ascii="Univers Next for HSBC Regular" w:hAnsi="Univers Next for HSBC Regular" w:cs="Arial"/>
                        <w:i/>
                        <w:sz w:val="14"/>
                        <w:szCs w:val="14"/>
                      </w:rPr>
                      <w:t>É</w:t>
                    </w:r>
                    <w:r w:rsidRPr="00A133D4">
                      <w:rPr>
                        <w:rFonts w:ascii="Univers Next for HSBC Regular" w:hAnsi="Univers Next for HSBC Regular" w:cs="Arial"/>
                        <w:i/>
                        <w:sz w:val="14"/>
                        <w:szCs w:val="14"/>
                      </w:rPr>
                      <w:t>lysées</w:t>
                    </w:r>
                    <w:proofErr w:type="spellEnd"/>
                    <w:r w:rsidRPr="00A133D4">
                      <w:rPr>
                        <w:rFonts w:ascii="Univers Next for HSBC Regular" w:hAnsi="Univers Next for HSBC Regular" w:cs="Arial"/>
                        <w:i/>
                        <w:sz w:val="14"/>
                        <w:szCs w:val="14"/>
                      </w:rPr>
                      <w:t>, 75008 Paříž, Francie</w:t>
                    </w:r>
                  </w:p>
                </w:txbxContent>
              </v:textbox>
            </v:shape>
          </w:pict>
        </mc:Fallback>
      </mc:AlternateContent>
    </w:r>
    <w:r>
      <w:rPr>
        <w:noProof/>
        <w:lang w:val="en-US"/>
      </w:rPr>
      <mc:AlternateContent>
        <mc:Choice Requires="wps">
          <w:drawing>
            <wp:anchor distT="0" distB="0" distL="114935" distR="114935" simplePos="0" relativeHeight="251658752" behindDoc="1" locked="0" layoutInCell="1" allowOverlap="1" wp14:anchorId="1262C4EB" wp14:editId="72291C39">
              <wp:simplePos x="0" y="0"/>
              <wp:positionH relativeFrom="column">
                <wp:posOffset>-26670</wp:posOffset>
              </wp:positionH>
              <wp:positionV relativeFrom="paragraph">
                <wp:posOffset>-121920</wp:posOffset>
              </wp:positionV>
              <wp:extent cx="1626235" cy="487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6235"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B9414" w14:textId="77777777" w:rsidR="00045A78" w:rsidRDefault="00045A78" w:rsidP="00140EF7">
                          <w:pPr>
                            <w:rPr>
                              <w:sz w:val="14"/>
                            </w:rPr>
                          </w:pPr>
                          <w:r>
                            <w:rPr>
                              <w:sz w:val="14"/>
                            </w:rPr>
                            <w:t>Tato tisková zpráva je vydána</w:t>
                          </w:r>
                        </w:p>
                        <w:p w14:paraId="0B5C8727" w14:textId="77777777" w:rsidR="00045A78" w:rsidRDefault="006556D4" w:rsidP="00140EF7">
                          <w:pPr>
                            <w:rPr>
                              <w:b/>
                              <w:sz w:val="24"/>
                            </w:rPr>
                          </w:pPr>
                          <w:r>
                            <w:rPr>
                              <w:b/>
                              <w:sz w:val="24"/>
                            </w:rPr>
                            <w:t>HSBC France – pobočka Praha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C4EB" id="Text Box 1" o:spid="_x0000_s1028" type="#_x0000_t202" style="position:absolute;margin-left:-2.1pt;margin-top:-9.6pt;width:128.05pt;height:38.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" stroked="f">
              <v:fill opacity="0"/>
              <v:path arrowok="t"/>
              <v:textbox inset="0,0,0,0">
                <w:txbxContent>
                  <w:p w14:paraId="02AB9414" w14:textId="77777777" w:rsidR="00045A78" w:rsidRDefault="00045A78" w:rsidP="00140EF7">
                    <w:pPr>
                      <w:rPr>
                        <w:sz w:val="14"/>
                      </w:rPr>
                    </w:pPr>
                    <w:r>
                      <w:rPr>
                        <w:sz w:val="14"/>
                      </w:rPr>
                      <w:t>Tato tisková zpráva je vydána</w:t>
                    </w:r>
                  </w:p>
                  <w:p w14:paraId="0B5C8727" w14:textId="77777777" w:rsidR="00045A78" w:rsidRDefault="006556D4" w:rsidP="00140EF7">
                    <w:pPr>
                      <w:rPr>
                        <w:b/>
                        <w:sz w:val="24"/>
                      </w:rPr>
                    </w:pPr>
                    <w:r>
                      <w:rPr>
                        <w:b/>
                        <w:sz w:val="24"/>
                      </w:rPr>
                      <w:t>HSBC France – pobočka Praha</w:t>
                    </w:r>
                  </w:p>
                </w:txbxContent>
              </v:textbox>
            </v:shape>
          </w:pict>
        </mc:Fallback>
      </mc:AlternateContent>
    </w:r>
    <w:r w:rsidR="00466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BAAF" w14:textId="77777777" w:rsidR="00A51A1D" w:rsidRDefault="00A51A1D">
      <w:r>
        <w:separator/>
      </w:r>
    </w:p>
  </w:footnote>
  <w:footnote w:type="continuationSeparator" w:id="0">
    <w:p w14:paraId="17797463" w14:textId="77777777" w:rsidR="00A51A1D" w:rsidRDefault="00A5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2C1A" w14:textId="77777777" w:rsidR="00045A78" w:rsidRDefault="00B90CB3">
    <w:pPr>
      <w:pStyle w:val="Header"/>
    </w:pPr>
    <w:r>
      <w:rPr>
        <w:i/>
        <w:noProof/>
        <w:sz w:val="14"/>
        <w:lang w:val="en-US"/>
      </w:rPr>
      <w:drawing>
        <wp:inline distT="0" distB="0" distL="0" distR="0" wp14:anchorId="79D05D35" wp14:editId="4994A121">
          <wp:extent cx="2793365" cy="512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124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BD26" w14:textId="77777777" w:rsidR="00045A78" w:rsidRPr="004A510E" w:rsidRDefault="00B90CB3" w:rsidP="0018329E">
    <w:pPr>
      <w:pStyle w:val="Header"/>
      <w:tabs>
        <w:tab w:val="clear" w:pos="4153"/>
        <w:tab w:val="clear" w:pos="8306"/>
        <w:tab w:val="left" w:pos="1243"/>
      </w:tabs>
      <w:rPr>
        <w:sz w:val="56"/>
        <w:szCs w:val="56"/>
      </w:rPr>
    </w:pPr>
    <w:r>
      <w:rPr>
        <w:noProof/>
        <w:lang w:val="en-US"/>
      </w:rPr>
      <w:drawing>
        <wp:anchor distT="0" distB="0" distL="114300" distR="114300" simplePos="0" relativeHeight="251659776" behindDoc="1" locked="0" layoutInCell="1" allowOverlap="1" wp14:anchorId="65F657F6" wp14:editId="36996491">
          <wp:simplePos x="0" y="0"/>
          <wp:positionH relativeFrom="column">
            <wp:posOffset>-390525</wp:posOffset>
          </wp:positionH>
          <wp:positionV relativeFrom="paragraph">
            <wp:posOffset>-179070</wp:posOffset>
          </wp:positionV>
          <wp:extent cx="1619250" cy="845820"/>
          <wp:effectExtent l="0" t="0" r="0" b="0"/>
          <wp:wrapThrough wrapText="bothSides">
            <wp:wrapPolygon edited="0">
              <wp:start x="5252" y="6486"/>
              <wp:lineTo x="3388" y="10703"/>
              <wp:lineTo x="4066" y="12324"/>
              <wp:lineTo x="5082" y="14270"/>
              <wp:lineTo x="5252" y="14919"/>
              <wp:lineTo x="9826" y="14919"/>
              <wp:lineTo x="10673" y="14270"/>
              <wp:lineTo x="17788" y="12649"/>
              <wp:lineTo x="18296" y="9405"/>
              <wp:lineTo x="17280" y="8757"/>
              <wp:lineTo x="9826" y="6486"/>
              <wp:lineTo x="5252" y="6486"/>
            </wp:wrapPolygon>
          </wp:wrapThrough>
          <wp:docPr id="6" name="Picture 5" descr="HSBC_MASTERBRAND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SBC_MASTERBRAND_LOGO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45820"/>
                  </a:xfrm>
                  <a:prstGeom prst="rect">
                    <a:avLst/>
                  </a:prstGeom>
                  <a:noFill/>
                </pic:spPr>
              </pic:pic>
            </a:graphicData>
          </a:graphic>
          <wp14:sizeRelH relativeFrom="page">
            <wp14:pctWidth>0</wp14:pctWidth>
          </wp14:sizeRelH>
          <wp14:sizeRelV relativeFrom="page">
            <wp14:pctHeight>0</wp14:pctHeight>
          </wp14:sizeRelV>
        </wp:anchor>
      </w:drawing>
    </w:r>
  </w:p>
  <w:p w14:paraId="4CB63CE3" w14:textId="77777777" w:rsidR="00045A78" w:rsidRDefault="00B90CB3">
    <w:pPr>
      <w:pStyle w:val="Header"/>
      <w:ind w:left="-851"/>
    </w:pPr>
    <w:r>
      <w:rPr>
        <w:noProof/>
        <w:lang w:val="en-US"/>
      </w:rPr>
      <mc:AlternateContent>
        <mc:Choice Requires="wps">
          <w:drawing>
            <wp:anchor distT="0" distB="0" distL="114300" distR="114300" simplePos="0" relativeHeight="251655680" behindDoc="0" locked="0" layoutInCell="0" allowOverlap="1" wp14:anchorId="35B3CD3E" wp14:editId="4DD590B3">
              <wp:simplePos x="0" y="0"/>
              <wp:positionH relativeFrom="column">
                <wp:posOffset>4436745</wp:posOffset>
              </wp:positionH>
              <wp:positionV relativeFrom="paragraph">
                <wp:posOffset>2110105</wp:posOffset>
              </wp:positionV>
              <wp:extent cx="3108960" cy="365760"/>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3108960" cy="3657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E2CA108" w14:textId="77777777" w:rsidR="00B90CB3" w:rsidRPr="00D249C8" w:rsidRDefault="00B90CB3" w:rsidP="00B90CB3">
                          <w:pPr>
                            <w:jc w:val="center"/>
                            <w:rPr>
                              <w:sz w:val="24"/>
                              <w:szCs w:val="24"/>
                            </w:rPr>
                          </w:pPr>
                          <w:r w:rsidRPr="00D249C8">
                            <w:rPr>
                              <w:rFonts w:ascii="Arial" w:hAnsi="Arial" w:cs="Arial"/>
                              <w:color w:val="C0C0C0"/>
                              <w:sz w:val="32"/>
                              <w:szCs w:val="32"/>
                            </w:rPr>
                            <w:t>Tisková zpráva</w:t>
                          </w:r>
                        </w:p>
                      </w:txbxContent>
                    </wps:txbx>
                    <wps:bodyPr wrap="square" lIns="0" tIns="0" rIns="0" bIns="0" numCol="1" fromWordArt="1">
                      <a:prstTxWarp prst="textPlain">
                        <a:avLst>
                          <a:gd name="adj" fmla="val 50019"/>
                        </a:avLst>
                      </a:prstTxWarp>
                      <a:noAutofit/>
                    </wps:bodyPr>
                  </wps:wsp>
                </a:graphicData>
              </a:graphic>
              <wp14:sizeRelH relativeFrom="page">
                <wp14:pctWidth>0</wp14:pctWidth>
              </wp14:sizeRelH>
              <wp14:sizeRelV relativeFrom="page">
                <wp14:pctHeight>0</wp14:pctHeight>
              </wp14:sizeRelV>
            </wp:anchor>
          </w:drawing>
        </mc:Choice>
        <mc:Fallback>
          <w:pict>
            <v:shapetype w14:anchorId="35B3CD3E" id="_x0000_t202" coordsize="21600,21600" o:spt="202" path="m,l,21600r21600,l21600,xe">
              <v:stroke joinstyle="miter"/>
              <v:path gradientshapeok="t" o:connecttype="rect"/>
            </v:shapetype>
            <v:shape id="WordArt 4" o:spid="_x0000_s1026" type="#_x0000_t202" style="position:absolute;left:0;text-align:left;margin-left:349.35pt;margin-top:166.15pt;width:244.8pt;height:28.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" o:allowincell="f" filled="f" stroked="f">
              <v:stroke joinstyle="round"/>
              <v:path arrowok="t"/>
              <v:textbox inset="0,0,0,0">
                <w:txbxContent>
                  <w:p w14:paraId="2E2CA108" w14:textId="77777777" w:rsidR="00B90CB3" w:rsidRPr="00D249C8" w:rsidRDefault="00B90CB3" w:rsidP="00B90CB3">
                    <w:pPr>
                      <w:jc w:val="center"/>
                      <w:rPr>
                        <w:sz w:val="24"/>
                        <w:szCs w:val="24"/>
                      </w:rPr>
                    </w:pPr>
                    <w:r w:rsidRPr="00D249C8">
                      <w:rPr>
                        <w:rFonts w:ascii="Arial" w:hAnsi="Arial" w:cs="Arial"/>
                        <w:color w:val="C0C0C0"/>
                        <w:sz w:val="32"/>
                        <w:szCs w:val="32"/>
                      </w:rPr>
                      <w:t>Tisková zpráva</w:t>
                    </w:r>
                  </w:p>
                </w:txbxContent>
              </v:textbox>
            </v:shape>
          </w:pict>
        </mc:Fallback>
      </mc:AlternateContent>
    </w:r>
    <w:r>
      <w:rPr>
        <w:noProof/>
        <w:lang w:val="en-US"/>
      </w:rPr>
      <mc:AlternateContent>
        <mc:Choice Requires="wps">
          <w:drawing>
            <wp:anchor distT="0" distB="0" distL="114300" distR="114300" simplePos="0" relativeHeight="251656704" behindDoc="0" locked="0" layoutInCell="0" allowOverlap="1" wp14:anchorId="151D0051" wp14:editId="14A1DC60">
              <wp:simplePos x="0" y="0"/>
              <wp:positionH relativeFrom="column">
                <wp:posOffset>5716905</wp:posOffset>
              </wp:positionH>
              <wp:positionV relativeFrom="paragraph">
                <wp:posOffset>738505</wp:posOffset>
              </wp:positionV>
              <wp:extent cx="0" cy="932688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326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AFF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15pt,58.15pt" to="450.15pt,7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" o:allowincell="f">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988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7D85D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CD081B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F18C2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C547E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C220F33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66B88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78335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7257E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907D9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A04702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53E606C6"/>
    <w:lvl w:ilvl="0" w:tplc="5BD693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00000B"/>
    <w:multiLevelType w:val="hybridMultilevel"/>
    <w:tmpl w:val="DB90A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42B08ED"/>
    <w:multiLevelType w:val="singleLevel"/>
    <w:tmpl w:val="4984A004"/>
    <w:lvl w:ilvl="0">
      <w:start w:val="1"/>
      <w:numFmt w:val="decimal"/>
      <w:lvlText w:val="%1."/>
      <w:lvlJc w:val="left"/>
      <w:pPr>
        <w:tabs>
          <w:tab w:val="num" w:pos="360"/>
        </w:tabs>
        <w:ind w:left="360" w:hanging="360"/>
      </w:pPr>
      <w:rPr>
        <w:rFonts w:hint="default"/>
      </w:rPr>
    </w:lvl>
  </w:abstractNum>
  <w:abstractNum w:abstractNumId="14" w15:restartNumberingAfterBreak="0">
    <w:nsid w:val="084C7311"/>
    <w:multiLevelType w:val="singleLevel"/>
    <w:tmpl w:val="8B8C1AD0"/>
    <w:lvl w:ilvl="0">
      <w:start w:val="1"/>
      <w:numFmt w:val="decimal"/>
      <w:lvlText w:val="%1)"/>
      <w:lvlJc w:val="left"/>
      <w:pPr>
        <w:tabs>
          <w:tab w:val="num" w:pos="360"/>
        </w:tabs>
        <w:ind w:left="360" w:hanging="360"/>
      </w:pPr>
      <w:rPr>
        <w:rFonts w:hint="default"/>
      </w:rPr>
    </w:lvl>
  </w:abstractNum>
  <w:abstractNum w:abstractNumId="15" w15:restartNumberingAfterBreak="0">
    <w:nsid w:val="15631C8A"/>
    <w:multiLevelType w:val="hybridMultilevel"/>
    <w:tmpl w:val="0FD4995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F82FDA"/>
    <w:multiLevelType w:val="hybridMultilevel"/>
    <w:tmpl w:val="056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A7512A"/>
    <w:multiLevelType w:val="hybridMultilevel"/>
    <w:tmpl w:val="ECD43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583D39"/>
    <w:multiLevelType w:val="singleLevel"/>
    <w:tmpl w:val="57C220B2"/>
    <w:lvl w:ilvl="0">
      <w:start w:val="1"/>
      <w:numFmt w:val="bullet"/>
      <w:lvlText w:val=""/>
      <w:lvlJc w:val="left"/>
      <w:pPr>
        <w:tabs>
          <w:tab w:val="num" w:pos="397"/>
        </w:tabs>
        <w:ind w:left="397" w:hanging="397"/>
      </w:pPr>
      <w:rPr>
        <w:rFonts w:ascii="Symbol" w:hAnsi="Symbol" w:hint="default"/>
      </w:rPr>
    </w:lvl>
  </w:abstractNum>
  <w:abstractNum w:abstractNumId="19" w15:restartNumberingAfterBreak="0">
    <w:nsid w:val="21766884"/>
    <w:multiLevelType w:val="singleLevel"/>
    <w:tmpl w:val="CDC82E9A"/>
    <w:lvl w:ilvl="0">
      <w:start w:val="1"/>
      <w:numFmt w:val="decimal"/>
      <w:lvlText w:val="%1."/>
      <w:lvlJc w:val="left"/>
      <w:pPr>
        <w:tabs>
          <w:tab w:val="num" w:pos="360"/>
        </w:tabs>
        <w:ind w:left="360" w:hanging="360"/>
      </w:pPr>
      <w:rPr>
        <w:rFonts w:hint="default"/>
      </w:rPr>
    </w:lvl>
  </w:abstractNum>
  <w:abstractNum w:abstractNumId="20" w15:restartNumberingAfterBreak="0">
    <w:nsid w:val="21B14E92"/>
    <w:multiLevelType w:val="hybridMultilevel"/>
    <w:tmpl w:val="ED6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E61E66"/>
    <w:multiLevelType w:val="hybridMultilevel"/>
    <w:tmpl w:val="D7D818D4"/>
    <w:lvl w:ilvl="0" w:tplc="53A429D4">
      <w:start w:val="1"/>
      <w:numFmt w:val="bullet"/>
      <w:lvlText w:val=""/>
      <w:lvlJc w:val="left"/>
      <w:pPr>
        <w:tabs>
          <w:tab w:val="num" w:pos="1704"/>
        </w:tabs>
        <w:ind w:left="1704" w:hanging="360"/>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D44F1A"/>
    <w:multiLevelType w:val="hybridMultilevel"/>
    <w:tmpl w:val="EBDE601E"/>
    <w:lvl w:ilvl="0" w:tplc="260CE4B8">
      <w:start w:val="1"/>
      <w:numFmt w:val="decimal"/>
      <w:lvlText w:val="%1."/>
      <w:lvlJc w:val="left"/>
      <w:pPr>
        <w:tabs>
          <w:tab w:val="num" w:pos="720"/>
        </w:tabs>
        <w:ind w:left="720" w:hanging="360"/>
      </w:pPr>
      <w:rPr>
        <w:rFonts w:hint="default"/>
        <w:color w:val="40315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E4036C"/>
    <w:multiLevelType w:val="hybridMultilevel"/>
    <w:tmpl w:val="07768D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A25FA7"/>
    <w:multiLevelType w:val="multilevel"/>
    <w:tmpl w:val="C672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437B53"/>
    <w:multiLevelType w:val="hybridMultilevel"/>
    <w:tmpl w:val="D2627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A35D46"/>
    <w:multiLevelType w:val="hybridMultilevel"/>
    <w:tmpl w:val="1A8E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017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93718C"/>
    <w:multiLevelType w:val="multilevel"/>
    <w:tmpl w:val="9C98F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9C37F2"/>
    <w:multiLevelType w:val="singleLevel"/>
    <w:tmpl w:val="D7ECFF32"/>
    <w:lvl w:ilvl="0">
      <w:start w:val="1"/>
      <w:numFmt w:val="decimal"/>
      <w:lvlText w:val="%1."/>
      <w:lvlJc w:val="left"/>
      <w:pPr>
        <w:tabs>
          <w:tab w:val="num" w:pos="360"/>
        </w:tabs>
        <w:ind w:left="360" w:hanging="360"/>
      </w:pPr>
      <w:rPr>
        <w:b/>
        <w:i w:val="0"/>
      </w:rPr>
    </w:lvl>
  </w:abstractNum>
  <w:abstractNum w:abstractNumId="30" w15:restartNumberingAfterBreak="0">
    <w:nsid w:val="4F9667AE"/>
    <w:multiLevelType w:val="hybridMultilevel"/>
    <w:tmpl w:val="9E780CC0"/>
    <w:lvl w:ilvl="0" w:tplc="937C6696">
      <w:numFmt w:val="bullet"/>
      <w:lvlText w:val="•"/>
      <w:lvlJc w:val="left"/>
      <w:pPr>
        <w:ind w:left="1471" w:hanging="360"/>
      </w:pPr>
      <w:rPr>
        <w:rFonts w:ascii="Times New Roman" w:eastAsia="Times New Roman" w:hAnsi="Times New Roman" w:cs="Times New Roman" w:hint="default"/>
        <w:color w:val="181719"/>
        <w:w w:val="99"/>
        <w:sz w:val="22"/>
        <w:szCs w:val="22"/>
      </w:rPr>
    </w:lvl>
    <w:lvl w:ilvl="1" w:tplc="E7B491F8">
      <w:numFmt w:val="bullet"/>
      <w:lvlText w:val="•"/>
      <w:lvlJc w:val="left"/>
      <w:pPr>
        <w:ind w:left="6780" w:hanging="360"/>
      </w:pPr>
      <w:rPr>
        <w:rFonts w:hint="default"/>
      </w:rPr>
    </w:lvl>
    <w:lvl w:ilvl="2" w:tplc="62908E54">
      <w:numFmt w:val="bullet"/>
      <w:lvlText w:val="•"/>
      <w:lvlJc w:val="left"/>
      <w:pPr>
        <w:ind w:left="7024" w:hanging="360"/>
      </w:pPr>
      <w:rPr>
        <w:rFonts w:hint="default"/>
      </w:rPr>
    </w:lvl>
    <w:lvl w:ilvl="3" w:tplc="99C812EE">
      <w:numFmt w:val="bullet"/>
      <w:lvlText w:val="•"/>
      <w:lvlJc w:val="left"/>
      <w:pPr>
        <w:ind w:left="7268" w:hanging="360"/>
      </w:pPr>
      <w:rPr>
        <w:rFonts w:hint="default"/>
      </w:rPr>
    </w:lvl>
    <w:lvl w:ilvl="4" w:tplc="83CA6D4C">
      <w:numFmt w:val="bullet"/>
      <w:lvlText w:val="•"/>
      <w:lvlJc w:val="left"/>
      <w:pPr>
        <w:ind w:left="7513" w:hanging="360"/>
      </w:pPr>
      <w:rPr>
        <w:rFonts w:hint="default"/>
      </w:rPr>
    </w:lvl>
    <w:lvl w:ilvl="5" w:tplc="7276B550">
      <w:numFmt w:val="bullet"/>
      <w:lvlText w:val="•"/>
      <w:lvlJc w:val="left"/>
      <w:pPr>
        <w:ind w:left="7757" w:hanging="360"/>
      </w:pPr>
      <w:rPr>
        <w:rFonts w:hint="default"/>
      </w:rPr>
    </w:lvl>
    <w:lvl w:ilvl="6" w:tplc="628AA200">
      <w:numFmt w:val="bullet"/>
      <w:lvlText w:val="•"/>
      <w:lvlJc w:val="left"/>
      <w:pPr>
        <w:ind w:left="8002" w:hanging="360"/>
      </w:pPr>
      <w:rPr>
        <w:rFonts w:hint="default"/>
      </w:rPr>
    </w:lvl>
    <w:lvl w:ilvl="7" w:tplc="58B4740E">
      <w:numFmt w:val="bullet"/>
      <w:lvlText w:val="•"/>
      <w:lvlJc w:val="left"/>
      <w:pPr>
        <w:ind w:left="8246" w:hanging="360"/>
      </w:pPr>
      <w:rPr>
        <w:rFonts w:hint="default"/>
      </w:rPr>
    </w:lvl>
    <w:lvl w:ilvl="8" w:tplc="BD4A6E2C">
      <w:numFmt w:val="bullet"/>
      <w:lvlText w:val="•"/>
      <w:lvlJc w:val="left"/>
      <w:pPr>
        <w:ind w:left="8491" w:hanging="360"/>
      </w:pPr>
      <w:rPr>
        <w:rFonts w:hint="default"/>
      </w:rPr>
    </w:lvl>
  </w:abstractNum>
  <w:abstractNum w:abstractNumId="31" w15:restartNumberingAfterBreak="0">
    <w:nsid w:val="524A21A6"/>
    <w:multiLevelType w:val="hybridMultilevel"/>
    <w:tmpl w:val="6D7CAB78"/>
    <w:lvl w:ilvl="0" w:tplc="8A94F1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C977B1"/>
    <w:multiLevelType w:val="hybridMultilevel"/>
    <w:tmpl w:val="090A0424"/>
    <w:lvl w:ilvl="0" w:tplc="DC2078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132CCE"/>
    <w:multiLevelType w:val="hybridMultilevel"/>
    <w:tmpl w:val="304C3A3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5B173CB7"/>
    <w:multiLevelType w:val="hybridMultilevel"/>
    <w:tmpl w:val="DB90A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D5258D"/>
    <w:multiLevelType w:val="hybridMultilevel"/>
    <w:tmpl w:val="92C4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B1D0D"/>
    <w:multiLevelType w:val="hybridMultilevel"/>
    <w:tmpl w:val="7E864CA0"/>
    <w:lvl w:ilvl="0" w:tplc="DCF4311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630111"/>
    <w:multiLevelType w:val="hybridMultilevel"/>
    <w:tmpl w:val="4958068E"/>
    <w:lvl w:ilvl="0" w:tplc="0DF4C21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50389"/>
    <w:multiLevelType w:val="multilevel"/>
    <w:tmpl w:val="BF9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844E82"/>
    <w:multiLevelType w:val="multilevel"/>
    <w:tmpl w:val="98825AE0"/>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29"/>
  </w:num>
  <w:num w:numId="2">
    <w:abstractNumId w:val="18"/>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9"/>
  </w:num>
  <w:num w:numId="15">
    <w:abstractNumId w:val="13"/>
  </w:num>
  <w:num w:numId="16">
    <w:abstractNumId w:val="27"/>
  </w:num>
  <w:num w:numId="17">
    <w:abstractNumId w:val="25"/>
  </w:num>
  <w:num w:numId="18">
    <w:abstractNumId w:val="31"/>
  </w:num>
  <w:num w:numId="19">
    <w:abstractNumId w:val="32"/>
  </w:num>
  <w:num w:numId="20">
    <w:abstractNumId w:val="21"/>
  </w:num>
  <w:num w:numId="21">
    <w:abstractNumId w:val="38"/>
  </w:num>
  <w:num w:numId="22">
    <w:abstractNumId w:val="37"/>
  </w:num>
  <w:num w:numId="23">
    <w:abstractNumId w:val="15"/>
  </w:num>
  <w:num w:numId="24">
    <w:abstractNumId w:val="36"/>
  </w:num>
  <w:num w:numId="25">
    <w:abstractNumId w:val="28"/>
  </w:num>
  <w:num w:numId="26">
    <w:abstractNumId w:val="22"/>
  </w:num>
  <w:num w:numId="27">
    <w:abstractNumId w:val="17"/>
  </w:num>
  <w:num w:numId="28">
    <w:abstractNumId w:val="33"/>
  </w:num>
  <w:num w:numId="29">
    <w:abstractNumId w:val="23"/>
  </w:num>
  <w:num w:numId="30">
    <w:abstractNumId w:val="39"/>
  </w:num>
  <w:num w:numId="31">
    <w:abstractNumId w:val="0"/>
  </w:num>
  <w:num w:numId="32">
    <w:abstractNumId w:val="11"/>
  </w:num>
  <w:num w:numId="33">
    <w:abstractNumId w:val="12"/>
  </w:num>
  <w:num w:numId="34">
    <w:abstractNumId w:val="34"/>
  </w:num>
  <w:num w:numId="35">
    <w:abstractNumId w:val="24"/>
  </w:num>
  <w:num w:numId="36">
    <w:abstractNumId w:val="30"/>
  </w:num>
  <w:num w:numId="37">
    <w:abstractNumId w:val="16"/>
  </w:num>
  <w:num w:numId="38">
    <w:abstractNumId w:val="26"/>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D7"/>
    <w:rsid w:val="00000C78"/>
    <w:rsid w:val="000045E8"/>
    <w:rsid w:val="00004B1C"/>
    <w:rsid w:val="00007649"/>
    <w:rsid w:val="00011F57"/>
    <w:rsid w:val="00013CDA"/>
    <w:rsid w:val="0002258A"/>
    <w:rsid w:val="000327FC"/>
    <w:rsid w:val="00040114"/>
    <w:rsid w:val="000404E3"/>
    <w:rsid w:val="00043576"/>
    <w:rsid w:val="00043A91"/>
    <w:rsid w:val="00045A78"/>
    <w:rsid w:val="00050918"/>
    <w:rsid w:val="00050C0D"/>
    <w:rsid w:val="00051E2E"/>
    <w:rsid w:val="000533E1"/>
    <w:rsid w:val="00056152"/>
    <w:rsid w:val="00056B56"/>
    <w:rsid w:val="00062FD3"/>
    <w:rsid w:val="00063795"/>
    <w:rsid w:val="0007185F"/>
    <w:rsid w:val="000748E4"/>
    <w:rsid w:val="00074FCA"/>
    <w:rsid w:val="00076148"/>
    <w:rsid w:val="0008282B"/>
    <w:rsid w:val="00084772"/>
    <w:rsid w:val="00085CF4"/>
    <w:rsid w:val="0009527C"/>
    <w:rsid w:val="000A22A9"/>
    <w:rsid w:val="000A4CEB"/>
    <w:rsid w:val="000A5D6C"/>
    <w:rsid w:val="000A6627"/>
    <w:rsid w:val="000A6CDA"/>
    <w:rsid w:val="000B34E1"/>
    <w:rsid w:val="000B4734"/>
    <w:rsid w:val="000B4AA0"/>
    <w:rsid w:val="000B4C00"/>
    <w:rsid w:val="000B6CF4"/>
    <w:rsid w:val="000C232E"/>
    <w:rsid w:val="000D60F0"/>
    <w:rsid w:val="0010313C"/>
    <w:rsid w:val="001042A8"/>
    <w:rsid w:val="00106E3C"/>
    <w:rsid w:val="0010777C"/>
    <w:rsid w:val="001116C9"/>
    <w:rsid w:val="00113287"/>
    <w:rsid w:val="001153A2"/>
    <w:rsid w:val="001176C9"/>
    <w:rsid w:val="001311D8"/>
    <w:rsid w:val="001319FB"/>
    <w:rsid w:val="00131A88"/>
    <w:rsid w:val="00140EF7"/>
    <w:rsid w:val="0014205F"/>
    <w:rsid w:val="00143F5A"/>
    <w:rsid w:val="00154742"/>
    <w:rsid w:val="001548FC"/>
    <w:rsid w:val="0016144F"/>
    <w:rsid w:val="00165577"/>
    <w:rsid w:val="0016564C"/>
    <w:rsid w:val="001718CD"/>
    <w:rsid w:val="00171E0E"/>
    <w:rsid w:val="00172201"/>
    <w:rsid w:val="00173542"/>
    <w:rsid w:val="0017579C"/>
    <w:rsid w:val="00175AFA"/>
    <w:rsid w:val="00176930"/>
    <w:rsid w:val="00180764"/>
    <w:rsid w:val="001824C4"/>
    <w:rsid w:val="0018329E"/>
    <w:rsid w:val="00192A93"/>
    <w:rsid w:val="00192B6E"/>
    <w:rsid w:val="00193585"/>
    <w:rsid w:val="00195784"/>
    <w:rsid w:val="00195C2A"/>
    <w:rsid w:val="00197874"/>
    <w:rsid w:val="001A67D3"/>
    <w:rsid w:val="001A7DB5"/>
    <w:rsid w:val="001B0044"/>
    <w:rsid w:val="001C20D8"/>
    <w:rsid w:val="001C335A"/>
    <w:rsid w:val="001C3B6B"/>
    <w:rsid w:val="001D04A1"/>
    <w:rsid w:val="001D206B"/>
    <w:rsid w:val="001D58B1"/>
    <w:rsid w:val="001D6CC8"/>
    <w:rsid w:val="001E04B0"/>
    <w:rsid w:val="001E19CD"/>
    <w:rsid w:val="001E34C3"/>
    <w:rsid w:val="001E57DB"/>
    <w:rsid w:val="001F10C2"/>
    <w:rsid w:val="001F11C2"/>
    <w:rsid w:val="001F3A96"/>
    <w:rsid w:val="001F4AC1"/>
    <w:rsid w:val="001F5CDE"/>
    <w:rsid w:val="002040EC"/>
    <w:rsid w:val="00211FE4"/>
    <w:rsid w:val="002138DB"/>
    <w:rsid w:val="002142A6"/>
    <w:rsid w:val="00214DAF"/>
    <w:rsid w:val="00216C34"/>
    <w:rsid w:val="00225871"/>
    <w:rsid w:val="002342F3"/>
    <w:rsid w:val="0024301C"/>
    <w:rsid w:val="002435CD"/>
    <w:rsid w:val="00247475"/>
    <w:rsid w:val="00250A87"/>
    <w:rsid w:val="002537C9"/>
    <w:rsid w:val="00257BC0"/>
    <w:rsid w:val="002600DF"/>
    <w:rsid w:val="00263904"/>
    <w:rsid w:val="00267764"/>
    <w:rsid w:val="002701CC"/>
    <w:rsid w:val="00277974"/>
    <w:rsid w:val="0028023D"/>
    <w:rsid w:val="00290ED5"/>
    <w:rsid w:val="00290F92"/>
    <w:rsid w:val="002946CE"/>
    <w:rsid w:val="00294D42"/>
    <w:rsid w:val="002A5C2E"/>
    <w:rsid w:val="002B223B"/>
    <w:rsid w:val="002B3285"/>
    <w:rsid w:val="002C25B7"/>
    <w:rsid w:val="002C3316"/>
    <w:rsid w:val="002C5938"/>
    <w:rsid w:val="002D1556"/>
    <w:rsid w:val="002D243D"/>
    <w:rsid w:val="002D5BCF"/>
    <w:rsid w:val="002D6583"/>
    <w:rsid w:val="002E2020"/>
    <w:rsid w:val="002E49D5"/>
    <w:rsid w:val="002E6B7F"/>
    <w:rsid w:val="002E72E7"/>
    <w:rsid w:val="002E77BD"/>
    <w:rsid w:val="002F0BD7"/>
    <w:rsid w:val="002F177F"/>
    <w:rsid w:val="002F7B2A"/>
    <w:rsid w:val="00301AC2"/>
    <w:rsid w:val="00303BE6"/>
    <w:rsid w:val="00305348"/>
    <w:rsid w:val="0031347E"/>
    <w:rsid w:val="00314E27"/>
    <w:rsid w:val="003207AC"/>
    <w:rsid w:val="0032123B"/>
    <w:rsid w:val="00322BC1"/>
    <w:rsid w:val="00324BCE"/>
    <w:rsid w:val="0032761D"/>
    <w:rsid w:val="003309C4"/>
    <w:rsid w:val="0033127B"/>
    <w:rsid w:val="003320DC"/>
    <w:rsid w:val="003343FE"/>
    <w:rsid w:val="00336230"/>
    <w:rsid w:val="00343B74"/>
    <w:rsid w:val="00345652"/>
    <w:rsid w:val="00346EB2"/>
    <w:rsid w:val="00351280"/>
    <w:rsid w:val="00351F98"/>
    <w:rsid w:val="00352407"/>
    <w:rsid w:val="00353502"/>
    <w:rsid w:val="003536DF"/>
    <w:rsid w:val="00362B6F"/>
    <w:rsid w:val="003630BE"/>
    <w:rsid w:val="00365C92"/>
    <w:rsid w:val="00366DF4"/>
    <w:rsid w:val="003679A0"/>
    <w:rsid w:val="00374BE1"/>
    <w:rsid w:val="00380AFF"/>
    <w:rsid w:val="00382B82"/>
    <w:rsid w:val="00384118"/>
    <w:rsid w:val="00384F61"/>
    <w:rsid w:val="00385800"/>
    <w:rsid w:val="003913FF"/>
    <w:rsid w:val="00391F49"/>
    <w:rsid w:val="00392FDF"/>
    <w:rsid w:val="00395D66"/>
    <w:rsid w:val="003A07F2"/>
    <w:rsid w:val="003A1E93"/>
    <w:rsid w:val="003A28FA"/>
    <w:rsid w:val="003A6624"/>
    <w:rsid w:val="003A7B8B"/>
    <w:rsid w:val="003B0DE6"/>
    <w:rsid w:val="003B5FB1"/>
    <w:rsid w:val="003B7CDB"/>
    <w:rsid w:val="003C0F84"/>
    <w:rsid w:val="003C5046"/>
    <w:rsid w:val="003C562B"/>
    <w:rsid w:val="003C696D"/>
    <w:rsid w:val="003C7E0C"/>
    <w:rsid w:val="003D0D05"/>
    <w:rsid w:val="003D1682"/>
    <w:rsid w:val="003D1B94"/>
    <w:rsid w:val="003D2E58"/>
    <w:rsid w:val="003D4942"/>
    <w:rsid w:val="003D5269"/>
    <w:rsid w:val="003D5CC2"/>
    <w:rsid w:val="003E741C"/>
    <w:rsid w:val="003E74CF"/>
    <w:rsid w:val="003F3895"/>
    <w:rsid w:val="003F5B58"/>
    <w:rsid w:val="004000F3"/>
    <w:rsid w:val="00400E08"/>
    <w:rsid w:val="00415D2B"/>
    <w:rsid w:val="00416B69"/>
    <w:rsid w:val="004244D5"/>
    <w:rsid w:val="00434524"/>
    <w:rsid w:val="004350A1"/>
    <w:rsid w:val="00437AF0"/>
    <w:rsid w:val="00440B6D"/>
    <w:rsid w:val="0044171F"/>
    <w:rsid w:val="0044184E"/>
    <w:rsid w:val="00443FDE"/>
    <w:rsid w:val="00446BA7"/>
    <w:rsid w:val="00450C95"/>
    <w:rsid w:val="0045637B"/>
    <w:rsid w:val="00464348"/>
    <w:rsid w:val="004657F2"/>
    <w:rsid w:val="00466421"/>
    <w:rsid w:val="00467570"/>
    <w:rsid w:val="00467D42"/>
    <w:rsid w:val="004740B5"/>
    <w:rsid w:val="00474B89"/>
    <w:rsid w:val="004819B7"/>
    <w:rsid w:val="00487A10"/>
    <w:rsid w:val="00494B61"/>
    <w:rsid w:val="00497A96"/>
    <w:rsid w:val="004A04F2"/>
    <w:rsid w:val="004A1ECF"/>
    <w:rsid w:val="004A27D8"/>
    <w:rsid w:val="004A510E"/>
    <w:rsid w:val="004A6DA2"/>
    <w:rsid w:val="004A7B12"/>
    <w:rsid w:val="004B5631"/>
    <w:rsid w:val="004C0907"/>
    <w:rsid w:val="004C135C"/>
    <w:rsid w:val="004C3658"/>
    <w:rsid w:val="004C4553"/>
    <w:rsid w:val="004C5178"/>
    <w:rsid w:val="004C5F66"/>
    <w:rsid w:val="004D59B1"/>
    <w:rsid w:val="004D61EE"/>
    <w:rsid w:val="004D6BC4"/>
    <w:rsid w:val="004D71C3"/>
    <w:rsid w:val="004E062F"/>
    <w:rsid w:val="004E0EEC"/>
    <w:rsid w:val="004E1D63"/>
    <w:rsid w:val="004E217C"/>
    <w:rsid w:val="004E599B"/>
    <w:rsid w:val="004F2C76"/>
    <w:rsid w:val="004F3F6E"/>
    <w:rsid w:val="004F4E75"/>
    <w:rsid w:val="004F5E1D"/>
    <w:rsid w:val="00501391"/>
    <w:rsid w:val="005028F8"/>
    <w:rsid w:val="005040F9"/>
    <w:rsid w:val="00504F69"/>
    <w:rsid w:val="00505FAE"/>
    <w:rsid w:val="00512136"/>
    <w:rsid w:val="00515A39"/>
    <w:rsid w:val="00520607"/>
    <w:rsid w:val="00521F1C"/>
    <w:rsid w:val="00522E8F"/>
    <w:rsid w:val="005273AA"/>
    <w:rsid w:val="00527EFC"/>
    <w:rsid w:val="0053095A"/>
    <w:rsid w:val="00531A77"/>
    <w:rsid w:val="00534070"/>
    <w:rsid w:val="005409C6"/>
    <w:rsid w:val="0054404D"/>
    <w:rsid w:val="00545BFA"/>
    <w:rsid w:val="00546743"/>
    <w:rsid w:val="0055434B"/>
    <w:rsid w:val="005578B2"/>
    <w:rsid w:val="00563582"/>
    <w:rsid w:val="0056618D"/>
    <w:rsid w:val="00574221"/>
    <w:rsid w:val="00586FA5"/>
    <w:rsid w:val="00592DF3"/>
    <w:rsid w:val="005932FE"/>
    <w:rsid w:val="00596E91"/>
    <w:rsid w:val="005B54CA"/>
    <w:rsid w:val="005B56F8"/>
    <w:rsid w:val="005B596A"/>
    <w:rsid w:val="005C1891"/>
    <w:rsid w:val="005C1AC7"/>
    <w:rsid w:val="005C1CA0"/>
    <w:rsid w:val="005C5F2D"/>
    <w:rsid w:val="005C7603"/>
    <w:rsid w:val="005C78E1"/>
    <w:rsid w:val="005D1BC9"/>
    <w:rsid w:val="005D2753"/>
    <w:rsid w:val="005D2839"/>
    <w:rsid w:val="005D2D77"/>
    <w:rsid w:val="005D344F"/>
    <w:rsid w:val="005D3858"/>
    <w:rsid w:val="005D653D"/>
    <w:rsid w:val="005D78D8"/>
    <w:rsid w:val="005E0914"/>
    <w:rsid w:val="005E1B0E"/>
    <w:rsid w:val="005F0E83"/>
    <w:rsid w:val="005F26BE"/>
    <w:rsid w:val="005F3685"/>
    <w:rsid w:val="005F3688"/>
    <w:rsid w:val="005F3EF1"/>
    <w:rsid w:val="005F5389"/>
    <w:rsid w:val="00600A7E"/>
    <w:rsid w:val="00602639"/>
    <w:rsid w:val="006032B0"/>
    <w:rsid w:val="006039D8"/>
    <w:rsid w:val="00604F1C"/>
    <w:rsid w:val="0060697F"/>
    <w:rsid w:val="00606AAF"/>
    <w:rsid w:val="00611391"/>
    <w:rsid w:val="006171AE"/>
    <w:rsid w:val="00617613"/>
    <w:rsid w:val="00622FC9"/>
    <w:rsid w:val="00626EF3"/>
    <w:rsid w:val="00637F81"/>
    <w:rsid w:val="00640A4C"/>
    <w:rsid w:val="00650A8B"/>
    <w:rsid w:val="006547DA"/>
    <w:rsid w:val="006556D4"/>
    <w:rsid w:val="006561F9"/>
    <w:rsid w:val="00657C28"/>
    <w:rsid w:val="00661098"/>
    <w:rsid w:val="006635C0"/>
    <w:rsid w:val="00664EC6"/>
    <w:rsid w:val="006666D9"/>
    <w:rsid w:val="0067233F"/>
    <w:rsid w:val="006750EF"/>
    <w:rsid w:val="00675D1E"/>
    <w:rsid w:val="00687E5B"/>
    <w:rsid w:val="006A175B"/>
    <w:rsid w:val="006A43D7"/>
    <w:rsid w:val="006A46B4"/>
    <w:rsid w:val="006A5107"/>
    <w:rsid w:val="006A7C0D"/>
    <w:rsid w:val="006B0097"/>
    <w:rsid w:val="006B5B3B"/>
    <w:rsid w:val="006C4952"/>
    <w:rsid w:val="006C5C19"/>
    <w:rsid w:val="006C780D"/>
    <w:rsid w:val="006D33E7"/>
    <w:rsid w:val="006D3C36"/>
    <w:rsid w:val="006D427B"/>
    <w:rsid w:val="006D588A"/>
    <w:rsid w:val="006D7B10"/>
    <w:rsid w:val="006E04ED"/>
    <w:rsid w:val="006E0BEC"/>
    <w:rsid w:val="006E12D3"/>
    <w:rsid w:val="006E2537"/>
    <w:rsid w:val="006E28FB"/>
    <w:rsid w:val="006E297E"/>
    <w:rsid w:val="006E6FAA"/>
    <w:rsid w:val="006F2973"/>
    <w:rsid w:val="006F4986"/>
    <w:rsid w:val="006F7497"/>
    <w:rsid w:val="00703DE3"/>
    <w:rsid w:val="00703F6B"/>
    <w:rsid w:val="007060A7"/>
    <w:rsid w:val="007105F5"/>
    <w:rsid w:val="007223BD"/>
    <w:rsid w:val="007258E3"/>
    <w:rsid w:val="00726D4F"/>
    <w:rsid w:val="00727B68"/>
    <w:rsid w:val="00734D86"/>
    <w:rsid w:val="00735376"/>
    <w:rsid w:val="00735382"/>
    <w:rsid w:val="00742F5D"/>
    <w:rsid w:val="00743869"/>
    <w:rsid w:val="0074495C"/>
    <w:rsid w:val="00744CC1"/>
    <w:rsid w:val="00744E75"/>
    <w:rsid w:val="00747D68"/>
    <w:rsid w:val="0075506C"/>
    <w:rsid w:val="007550BE"/>
    <w:rsid w:val="00755B9C"/>
    <w:rsid w:val="00757CA7"/>
    <w:rsid w:val="0076558E"/>
    <w:rsid w:val="00766D16"/>
    <w:rsid w:val="007758AD"/>
    <w:rsid w:val="00781784"/>
    <w:rsid w:val="0078337E"/>
    <w:rsid w:val="00785BDD"/>
    <w:rsid w:val="00786084"/>
    <w:rsid w:val="007901E8"/>
    <w:rsid w:val="007946BF"/>
    <w:rsid w:val="00794D0D"/>
    <w:rsid w:val="007964E5"/>
    <w:rsid w:val="007A0D9E"/>
    <w:rsid w:val="007B5D97"/>
    <w:rsid w:val="007C0D96"/>
    <w:rsid w:val="007C1C02"/>
    <w:rsid w:val="007C2364"/>
    <w:rsid w:val="007C3F8E"/>
    <w:rsid w:val="007C6177"/>
    <w:rsid w:val="007C792E"/>
    <w:rsid w:val="007D1CDF"/>
    <w:rsid w:val="007D6E18"/>
    <w:rsid w:val="007D7309"/>
    <w:rsid w:val="007E0746"/>
    <w:rsid w:val="007E39E6"/>
    <w:rsid w:val="007E45B6"/>
    <w:rsid w:val="007E563D"/>
    <w:rsid w:val="007E6FA1"/>
    <w:rsid w:val="007F64D7"/>
    <w:rsid w:val="007F6E22"/>
    <w:rsid w:val="007F736B"/>
    <w:rsid w:val="00803503"/>
    <w:rsid w:val="00803D4E"/>
    <w:rsid w:val="00804137"/>
    <w:rsid w:val="008068C6"/>
    <w:rsid w:val="008107B6"/>
    <w:rsid w:val="0081252E"/>
    <w:rsid w:val="008129C6"/>
    <w:rsid w:val="0081613B"/>
    <w:rsid w:val="00816DEF"/>
    <w:rsid w:val="00821744"/>
    <w:rsid w:val="00825DC5"/>
    <w:rsid w:val="00831B37"/>
    <w:rsid w:val="00834BBF"/>
    <w:rsid w:val="00843B36"/>
    <w:rsid w:val="00844028"/>
    <w:rsid w:val="0085164E"/>
    <w:rsid w:val="00855429"/>
    <w:rsid w:val="008555B8"/>
    <w:rsid w:val="00860E0C"/>
    <w:rsid w:val="00860F34"/>
    <w:rsid w:val="00863D79"/>
    <w:rsid w:val="00864932"/>
    <w:rsid w:val="00867BBB"/>
    <w:rsid w:val="0087034B"/>
    <w:rsid w:val="008721D3"/>
    <w:rsid w:val="00881166"/>
    <w:rsid w:val="00882E5A"/>
    <w:rsid w:val="0088360A"/>
    <w:rsid w:val="00883F3B"/>
    <w:rsid w:val="00887E0C"/>
    <w:rsid w:val="00891D27"/>
    <w:rsid w:val="008924C4"/>
    <w:rsid w:val="00892E11"/>
    <w:rsid w:val="00893B8B"/>
    <w:rsid w:val="00893EB1"/>
    <w:rsid w:val="00896BD5"/>
    <w:rsid w:val="008A06C0"/>
    <w:rsid w:val="008A1F84"/>
    <w:rsid w:val="008B3A53"/>
    <w:rsid w:val="008B3C71"/>
    <w:rsid w:val="008B40F2"/>
    <w:rsid w:val="008B76A9"/>
    <w:rsid w:val="008B7767"/>
    <w:rsid w:val="008B7D9D"/>
    <w:rsid w:val="008C33D2"/>
    <w:rsid w:val="008C6C9C"/>
    <w:rsid w:val="008C7A97"/>
    <w:rsid w:val="008D1230"/>
    <w:rsid w:val="008D28F9"/>
    <w:rsid w:val="008D438C"/>
    <w:rsid w:val="008D5423"/>
    <w:rsid w:val="008D7D63"/>
    <w:rsid w:val="008E184E"/>
    <w:rsid w:val="008E5F91"/>
    <w:rsid w:val="008F1381"/>
    <w:rsid w:val="008F2B1A"/>
    <w:rsid w:val="008F49BA"/>
    <w:rsid w:val="00900451"/>
    <w:rsid w:val="009028A3"/>
    <w:rsid w:val="00904A13"/>
    <w:rsid w:val="009123A6"/>
    <w:rsid w:val="00915B87"/>
    <w:rsid w:val="00920AD6"/>
    <w:rsid w:val="00934BCA"/>
    <w:rsid w:val="00934CBB"/>
    <w:rsid w:val="00935399"/>
    <w:rsid w:val="00936A76"/>
    <w:rsid w:val="009400AD"/>
    <w:rsid w:val="00945DC0"/>
    <w:rsid w:val="00952332"/>
    <w:rsid w:val="00952E05"/>
    <w:rsid w:val="00954A1C"/>
    <w:rsid w:val="009565E2"/>
    <w:rsid w:val="00956E1E"/>
    <w:rsid w:val="00957431"/>
    <w:rsid w:val="00957753"/>
    <w:rsid w:val="00961B94"/>
    <w:rsid w:val="00962AD9"/>
    <w:rsid w:val="009669F5"/>
    <w:rsid w:val="00970775"/>
    <w:rsid w:val="00973EFC"/>
    <w:rsid w:val="00977FBE"/>
    <w:rsid w:val="009804CE"/>
    <w:rsid w:val="009829C2"/>
    <w:rsid w:val="0098779A"/>
    <w:rsid w:val="00990647"/>
    <w:rsid w:val="00991A66"/>
    <w:rsid w:val="00992EB5"/>
    <w:rsid w:val="009A577B"/>
    <w:rsid w:val="009A6F85"/>
    <w:rsid w:val="009A7A18"/>
    <w:rsid w:val="009B007E"/>
    <w:rsid w:val="009C0872"/>
    <w:rsid w:val="009C1076"/>
    <w:rsid w:val="009C240E"/>
    <w:rsid w:val="009C2A68"/>
    <w:rsid w:val="009C4B0B"/>
    <w:rsid w:val="009C77C3"/>
    <w:rsid w:val="009C7E02"/>
    <w:rsid w:val="009D0F31"/>
    <w:rsid w:val="009D21AD"/>
    <w:rsid w:val="009D64FE"/>
    <w:rsid w:val="009D6B32"/>
    <w:rsid w:val="009E1238"/>
    <w:rsid w:val="009E305B"/>
    <w:rsid w:val="009E3255"/>
    <w:rsid w:val="009E4C17"/>
    <w:rsid w:val="009E6036"/>
    <w:rsid w:val="009E65F5"/>
    <w:rsid w:val="009E67C7"/>
    <w:rsid w:val="009E7008"/>
    <w:rsid w:val="009E77CA"/>
    <w:rsid w:val="009E7A2C"/>
    <w:rsid w:val="009F0C0C"/>
    <w:rsid w:val="00A008B6"/>
    <w:rsid w:val="00A01C9A"/>
    <w:rsid w:val="00A026F8"/>
    <w:rsid w:val="00A03D0A"/>
    <w:rsid w:val="00A07624"/>
    <w:rsid w:val="00A12745"/>
    <w:rsid w:val="00A13413"/>
    <w:rsid w:val="00A15C21"/>
    <w:rsid w:val="00A17CFB"/>
    <w:rsid w:val="00A31088"/>
    <w:rsid w:val="00A316CC"/>
    <w:rsid w:val="00A31FAB"/>
    <w:rsid w:val="00A35E5C"/>
    <w:rsid w:val="00A361F1"/>
    <w:rsid w:val="00A43A44"/>
    <w:rsid w:val="00A466C0"/>
    <w:rsid w:val="00A476B1"/>
    <w:rsid w:val="00A511A2"/>
    <w:rsid w:val="00A51A1D"/>
    <w:rsid w:val="00A53CBD"/>
    <w:rsid w:val="00A55858"/>
    <w:rsid w:val="00A63E7E"/>
    <w:rsid w:val="00A659C7"/>
    <w:rsid w:val="00A66A9A"/>
    <w:rsid w:val="00A72171"/>
    <w:rsid w:val="00A741AA"/>
    <w:rsid w:val="00A7523E"/>
    <w:rsid w:val="00A76B09"/>
    <w:rsid w:val="00A84C07"/>
    <w:rsid w:val="00A8778A"/>
    <w:rsid w:val="00A92AB3"/>
    <w:rsid w:val="00A95F75"/>
    <w:rsid w:val="00A974ED"/>
    <w:rsid w:val="00AA0824"/>
    <w:rsid w:val="00AA10E4"/>
    <w:rsid w:val="00AA31D3"/>
    <w:rsid w:val="00AA3962"/>
    <w:rsid w:val="00AA70A3"/>
    <w:rsid w:val="00AB1F57"/>
    <w:rsid w:val="00AB4FE4"/>
    <w:rsid w:val="00AB515D"/>
    <w:rsid w:val="00AB5C04"/>
    <w:rsid w:val="00AB6C59"/>
    <w:rsid w:val="00AB74CF"/>
    <w:rsid w:val="00AC1247"/>
    <w:rsid w:val="00AC3CAE"/>
    <w:rsid w:val="00AC4F50"/>
    <w:rsid w:val="00AC6C13"/>
    <w:rsid w:val="00AD0ABE"/>
    <w:rsid w:val="00AD1B54"/>
    <w:rsid w:val="00AD48CF"/>
    <w:rsid w:val="00AD5CC4"/>
    <w:rsid w:val="00AE0CC5"/>
    <w:rsid w:val="00AE1824"/>
    <w:rsid w:val="00AE2802"/>
    <w:rsid w:val="00AE49AC"/>
    <w:rsid w:val="00AE6EAF"/>
    <w:rsid w:val="00AF62C0"/>
    <w:rsid w:val="00AF647F"/>
    <w:rsid w:val="00AF73B7"/>
    <w:rsid w:val="00B017FB"/>
    <w:rsid w:val="00B01F0F"/>
    <w:rsid w:val="00B0305E"/>
    <w:rsid w:val="00B03D85"/>
    <w:rsid w:val="00B0564C"/>
    <w:rsid w:val="00B11CE1"/>
    <w:rsid w:val="00B21D6E"/>
    <w:rsid w:val="00B2589D"/>
    <w:rsid w:val="00B30126"/>
    <w:rsid w:val="00B3218A"/>
    <w:rsid w:val="00B32686"/>
    <w:rsid w:val="00B33854"/>
    <w:rsid w:val="00B36CC1"/>
    <w:rsid w:val="00B3739B"/>
    <w:rsid w:val="00B479E4"/>
    <w:rsid w:val="00B47B7A"/>
    <w:rsid w:val="00B52370"/>
    <w:rsid w:val="00B5238A"/>
    <w:rsid w:val="00B53AD7"/>
    <w:rsid w:val="00B559E6"/>
    <w:rsid w:val="00B61086"/>
    <w:rsid w:val="00B6427C"/>
    <w:rsid w:val="00B67979"/>
    <w:rsid w:val="00B72AF1"/>
    <w:rsid w:val="00B73D29"/>
    <w:rsid w:val="00B74576"/>
    <w:rsid w:val="00B7719C"/>
    <w:rsid w:val="00B80148"/>
    <w:rsid w:val="00B84D73"/>
    <w:rsid w:val="00B85F9A"/>
    <w:rsid w:val="00B8655B"/>
    <w:rsid w:val="00B86D37"/>
    <w:rsid w:val="00B90CB3"/>
    <w:rsid w:val="00B9165A"/>
    <w:rsid w:val="00B93C6A"/>
    <w:rsid w:val="00BA2B4A"/>
    <w:rsid w:val="00BA54E7"/>
    <w:rsid w:val="00BB0790"/>
    <w:rsid w:val="00BB1725"/>
    <w:rsid w:val="00BB402A"/>
    <w:rsid w:val="00BB50C0"/>
    <w:rsid w:val="00BB7B1C"/>
    <w:rsid w:val="00BD0EAB"/>
    <w:rsid w:val="00BD41D9"/>
    <w:rsid w:val="00BE3585"/>
    <w:rsid w:val="00BE7074"/>
    <w:rsid w:val="00BE7A9A"/>
    <w:rsid w:val="00BF056F"/>
    <w:rsid w:val="00BF2B91"/>
    <w:rsid w:val="00BF594F"/>
    <w:rsid w:val="00BF5AA4"/>
    <w:rsid w:val="00BF6636"/>
    <w:rsid w:val="00C02873"/>
    <w:rsid w:val="00C10E13"/>
    <w:rsid w:val="00C225E9"/>
    <w:rsid w:val="00C2276B"/>
    <w:rsid w:val="00C236FF"/>
    <w:rsid w:val="00C25BC7"/>
    <w:rsid w:val="00C2643C"/>
    <w:rsid w:val="00C26FBF"/>
    <w:rsid w:val="00C279B2"/>
    <w:rsid w:val="00C30C61"/>
    <w:rsid w:val="00C3271D"/>
    <w:rsid w:val="00C327E3"/>
    <w:rsid w:val="00C32F0D"/>
    <w:rsid w:val="00C3321E"/>
    <w:rsid w:val="00C35ECB"/>
    <w:rsid w:val="00C370FD"/>
    <w:rsid w:val="00C41DC7"/>
    <w:rsid w:val="00C4263D"/>
    <w:rsid w:val="00C454EE"/>
    <w:rsid w:val="00C4574E"/>
    <w:rsid w:val="00C45ACA"/>
    <w:rsid w:val="00C461CC"/>
    <w:rsid w:val="00C47483"/>
    <w:rsid w:val="00C5393D"/>
    <w:rsid w:val="00C54FFC"/>
    <w:rsid w:val="00C5503E"/>
    <w:rsid w:val="00C55F18"/>
    <w:rsid w:val="00C56D62"/>
    <w:rsid w:val="00C60442"/>
    <w:rsid w:val="00C63411"/>
    <w:rsid w:val="00C657D4"/>
    <w:rsid w:val="00C67791"/>
    <w:rsid w:val="00C67D4E"/>
    <w:rsid w:val="00C728B2"/>
    <w:rsid w:val="00C735F5"/>
    <w:rsid w:val="00C74065"/>
    <w:rsid w:val="00C74844"/>
    <w:rsid w:val="00C74F12"/>
    <w:rsid w:val="00C7567C"/>
    <w:rsid w:val="00C756CF"/>
    <w:rsid w:val="00C758C2"/>
    <w:rsid w:val="00C761E2"/>
    <w:rsid w:val="00C807C8"/>
    <w:rsid w:val="00C80FD5"/>
    <w:rsid w:val="00C9327D"/>
    <w:rsid w:val="00C932E7"/>
    <w:rsid w:val="00C937E5"/>
    <w:rsid w:val="00C95D6C"/>
    <w:rsid w:val="00C9733C"/>
    <w:rsid w:val="00CA129C"/>
    <w:rsid w:val="00CA21E1"/>
    <w:rsid w:val="00CA4CAF"/>
    <w:rsid w:val="00CA59E0"/>
    <w:rsid w:val="00CB0F50"/>
    <w:rsid w:val="00CB2B5D"/>
    <w:rsid w:val="00CB4905"/>
    <w:rsid w:val="00CB6EEF"/>
    <w:rsid w:val="00CC06C6"/>
    <w:rsid w:val="00CD0154"/>
    <w:rsid w:val="00CD03AD"/>
    <w:rsid w:val="00CD20A6"/>
    <w:rsid w:val="00CD349F"/>
    <w:rsid w:val="00CE1B53"/>
    <w:rsid w:val="00CE3F52"/>
    <w:rsid w:val="00CE4B36"/>
    <w:rsid w:val="00CF231E"/>
    <w:rsid w:val="00CF4E51"/>
    <w:rsid w:val="00CF58BC"/>
    <w:rsid w:val="00CF7BA3"/>
    <w:rsid w:val="00D014D7"/>
    <w:rsid w:val="00D02208"/>
    <w:rsid w:val="00D02F6F"/>
    <w:rsid w:val="00D03198"/>
    <w:rsid w:val="00D13A8D"/>
    <w:rsid w:val="00D1735D"/>
    <w:rsid w:val="00D23E53"/>
    <w:rsid w:val="00D249C8"/>
    <w:rsid w:val="00D24B39"/>
    <w:rsid w:val="00D3078B"/>
    <w:rsid w:val="00D36DA3"/>
    <w:rsid w:val="00D406CE"/>
    <w:rsid w:val="00D43089"/>
    <w:rsid w:val="00D45596"/>
    <w:rsid w:val="00D45845"/>
    <w:rsid w:val="00D4689E"/>
    <w:rsid w:val="00D476FD"/>
    <w:rsid w:val="00D5079C"/>
    <w:rsid w:val="00D54EDE"/>
    <w:rsid w:val="00D618A0"/>
    <w:rsid w:val="00D70AF2"/>
    <w:rsid w:val="00D756D1"/>
    <w:rsid w:val="00D80382"/>
    <w:rsid w:val="00D8079E"/>
    <w:rsid w:val="00D836CD"/>
    <w:rsid w:val="00D84A22"/>
    <w:rsid w:val="00D866D6"/>
    <w:rsid w:val="00D95139"/>
    <w:rsid w:val="00D971A8"/>
    <w:rsid w:val="00DA508C"/>
    <w:rsid w:val="00DA57DA"/>
    <w:rsid w:val="00DA7639"/>
    <w:rsid w:val="00DB52EC"/>
    <w:rsid w:val="00DB5856"/>
    <w:rsid w:val="00DB65C6"/>
    <w:rsid w:val="00DC0FAA"/>
    <w:rsid w:val="00DC26D3"/>
    <w:rsid w:val="00DC3322"/>
    <w:rsid w:val="00DC6BB0"/>
    <w:rsid w:val="00DC72C0"/>
    <w:rsid w:val="00DD2C5A"/>
    <w:rsid w:val="00DD724A"/>
    <w:rsid w:val="00DE4A31"/>
    <w:rsid w:val="00DF1FB0"/>
    <w:rsid w:val="00E01F9E"/>
    <w:rsid w:val="00E04E50"/>
    <w:rsid w:val="00E0519B"/>
    <w:rsid w:val="00E14033"/>
    <w:rsid w:val="00E20874"/>
    <w:rsid w:val="00E23AE1"/>
    <w:rsid w:val="00E2504C"/>
    <w:rsid w:val="00E30674"/>
    <w:rsid w:val="00E31487"/>
    <w:rsid w:val="00E33AE2"/>
    <w:rsid w:val="00E34C58"/>
    <w:rsid w:val="00E41EC7"/>
    <w:rsid w:val="00E45747"/>
    <w:rsid w:val="00E50DF6"/>
    <w:rsid w:val="00E51567"/>
    <w:rsid w:val="00E5528E"/>
    <w:rsid w:val="00E62F78"/>
    <w:rsid w:val="00E70D20"/>
    <w:rsid w:val="00E73F31"/>
    <w:rsid w:val="00E73FBC"/>
    <w:rsid w:val="00E76056"/>
    <w:rsid w:val="00E77A37"/>
    <w:rsid w:val="00E83829"/>
    <w:rsid w:val="00E83C00"/>
    <w:rsid w:val="00E840D2"/>
    <w:rsid w:val="00E86DA7"/>
    <w:rsid w:val="00E90582"/>
    <w:rsid w:val="00E953F3"/>
    <w:rsid w:val="00E956BC"/>
    <w:rsid w:val="00E96720"/>
    <w:rsid w:val="00EA0BF5"/>
    <w:rsid w:val="00EA0F72"/>
    <w:rsid w:val="00EA16EA"/>
    <w:rsid w:val="00EA230D"/>
    <w:rsid w:val="00EA2808"/>
    <w:rsid w:val="00EA4DC0"/>
    <w:rsid w:val="00EB3B06"/>
    <w:rsid w:val="00EB66BC"/>
    <w:rsid w:val="00EC37D2"/>
    <w:rsid w:val="00EC3D15"/>
    <w:rsid w:val="00EC6B37"/>
    <w:rsid w:val="00EC74D7"/>
    <w:rsid w:val="00ED02C7"/>
    <w:rsid w:val="00ED0C06"/>
    <w:rsid w:val="00ED2169"/>
    <w:rsid w:val="00ED5AF7"/>
    <w:rsid w:val="00EE1544"/>
    <w:rsid w:val="00EE25EB"/>
    <w:rsid w:val="00EF0CDF"/>
    <w:rsid w:val="00EF5206"/>
    <w:rsid w:val="00EF6530"/>
    <w:rsid w:val="00EF7266"/>
    <w:rsid w:val="00F05D44"/>
    <w:rsid w:val="00F07C39"/>
    <w:rsid w:val="00F11A52"/>
    <w:rsid w:val="00F11AAF"/>
    <w:rsid w:val="00F1280F"/>
    <w:rsid w:val="00F16A45"/>
    <w:rsid w:val="00F205CC"/>
    <w:rsid w:val="00F22836"/>
    <w:rsid w:val="00F23768"/>
    <w:rsid w:val="00F25753"/>
    <w:rsid w:val="00F308B2"/>
    <w:rsid w:val="00F32457"/>
    <w:rsid w:val="00F32AD7"/>
    <w:rsid w:val="00F330DE"/>
    <w:rsid w:val="00F341AB"/>
    <w:rsid w:val="00F4748F"/>
    <w:rsid w:val="00F501F9"/>
    <w:rsid w:val="00F51C46"/>
    <w:rsid w:val="00F553D1"/>
    <w:rsid w:val="00F6194F"/>
    <w:rsid w:val="00F66B96"/>
    <w:rsid w:val="00F67D28"/>
    <w:rsid w:val="00F67E1D"/>
    <w:rsid w:val="00F752B3"/>
    <w:rsid w:val="00F84849"/>
    <w:rsid w:val="00F84B0B"/>
    <w:rsid w:val="00F84F91"/>
    <w:rsid w:val="00F85708"/>
    <w:rsid w:val="00F96144"/>
    <w:rsid w:val="00FA3BDF"/>
    <w:rsid w:val="00FA55C4"/>
    <w:rsid w:val="00FA691B"/>
    <w:rsid w:val="00FA7530"/>
    <w:rsid w:val="00FB26EF"/>
    <w:rsid w:val="00FB53EA"/>
    <w:rsid w:val="00FB62E5"/>
    <w:rsid w:val="00FB74BE"/>
    <w:rsid w:val="00FC04A8"/>
    <w:rsid w:val="00FC62EA"/>
    <w:rsid w:val="00FD39F1"/>
    <w:rsid w:val="00FE0D8A"/>
    <w:rsid w:val="00FE2B76"/>
    <w:rsid w:val="00FE4558"/>
    <w:rsid w:val="00FE56B0"/>
    <w:rsid w:val="00FE62EF"/>
    <w:rsid w:val="00FF0AE4"/>
    <w:rsid w:val="00FF145C"/>
    <w:rsid w:val="00F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9EABD"/>
  <w15:chartTrackingRefBased/>
  <w15:docId w15:val="{6A17AB67-E0F5-422E-85A8-58D6A524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jc w:val="right"/>
      <w:outlineLvl w:val="1"/>
    </w:pPr>
    <w:rPr>
      <w:b/>
      <w:sz w:val="24"/>
    </w:rPr>
  </w:style>
  <w:style w:type="paragraph" w:styleId="Heading3">
    <w:name w:val="heading 3"/>
    <w:basedOn w:val="Normal"/>
    <w:next w:val="Normal"/>
    <w:qFormat/>
    <w:pPr>
      <w:keepNext/>
      <w:spacing w:line="360" w:lineRule="auto"/>
      <w:outlineLvl w:val="2"/>
    </w:pPr>
    <w:rPr>
      <w:b/>
      <w:sz w:val="24"/>
      <w:u w:val="single"/>
    </w:rPr>
  </w:style>
  <w:style w:type="paragraph" w:styleId="Heading4">
    <w:name w:val="heading 4"/>
    <w:basedOn w:val="Normal"/>
    <w:next w:val="Normal"/>
    <w:qFormat/>
    <w:pPr>
      <w:keepNext/>
      <w:spacing w:line="360" w:lineRule="auto"/>
      <w:jc w:val="right"/>
      <w:outlineLvl w:val="3"/>
    </w:pPr>
    <w:rPr>
      <w:sz w:val="24"/>
    </w:rPr>
  </w:style>
  <w:style w:type="paragraph" w:styleId="Heading5">
    <w:name w:val="heading 5"/>
    <w:basedOn w:val="Normal"/>
    <w:next w:val="Normal"/>
    <w:qFormat/>
    <w:pPr>
      <w:keepNext/>
      <w:outlineLvl w:val="4"/>
    </w:pPr>
    <w:rPr>
      <w:i/>
      <w:sz w:val="16"/>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spacing w:line="360" w:lineRule="auto"/>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link w:val="FootnoteTextChar"/>
    <w:uiPriority w:val="99"/>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lang w:val="en-US"/>
    </w:rPr>
  </w:style>
  <w:style w:type="character" w:styleId="Strong">
    <w:name w:val="Strong"/>
    <w:qFormat/>
    <w:rPr>
      <w:b/>
      <w:bCs/>
    </w:rPr>
  </w:style>
  <w:style w:type="paragraph" w:customStyle="1" w:styleId="Textbubliny1">
    <w:name w:val="Text bubliny1"/>
    <w:basedOn w:val="Normal"/>
    <w:semiHidden/>
    <w:rPr>
      <w:rFonts w:ascii="Tahoma" w:hAnsi="Tahoma" w:cs="Tahoma"/>
      <w:sz w:val="16"/>
      <w:szCs w:val="16"/>
    </w:rPr>
  </w:style>
  <w:style w:type="paragraph" w:customStyle="1" w:styleId="TEXT">
    <w:name w:val="TEXT"/>
    <w:basedOn w:val="Normal"/>
    <w:pPr>
      <w:spacing w:after="60" w:line="360" w:lineRule="auto"/>
      <w:jc w:val="both"/>
    </w:pPr>
    <w:rPr>
      <w:sz w:val="24"/>
      <w:szCs w:val="24"/>
    </w:rPr>
  </w:style>
  <w:style w:type="character" w:customStyle="1" w:styleId="TEXTChar">
    <w:name w:val="TEXT Char"/>
    <w:rPr>
      <w:sz w:val="24"/>
      <w:szCs w:val="24"/>
      <w:lang w:val="cs-CZ" w:eastAsia="en-US" w:bidi="ar-SA"/>
    </w:rPr>
  </w:style>
  <w:style w:type="character" w:customStyle="1" w:styleId="CharChar">
    <w:name w:val="Char Char"/>
    <w:rPr>
      <w:lang w:val="en-GB" w:eastAsia="en-US" w:bidi="ar-SA"/>
    </w:rPr>
  </w:style>
  <w:style w:type="character" w:styleId="CommentReference">
    <w:name w:val="annotation reference"/>
    <w:semiHidden/>
    <w:rPr>
      <w:sz w:val="16"/>
      <w:szCs w:val="16"/>
    </w:rPr>
  </w:style>
  <w:style w:type="paragraph" w:customStyle="1" w:styleId="Pedmtkomente1">
    <w:name w:val="Předmět komentáře1"/>
    <w:basedOn w:val="CommentText"/>
    <w:next w:val="CommentText"/>
    <w:semiHidden/>
    <w:rPr>
      <w:b/>
      <w:bCs/>
    </w:rPr>
  </w:style>
  <w:style w:type="paragraph" w:customStyle="1" w:styleId="Textbubliny3">
    <w:name w:val="Text bubliny3"/>
    <w:basedOn w:val="Normal"/>
    <w:semiHidden/>
    <w:rPr>
      <w:rFonts w:ascii="Tahoma" w:hAnsi="Tahoma" w:cs="Tahoma"/>
      <w:sz w:val="16"/>
      <w:szCs w:val="16"/>
    </w:rPr>
  </w:style>
  <w:style w:type="paragraph" w:customStyle="1" w:styleId="Pedmtkomente3">
    <w:name w:val="Předmět komentáře3"/>
    <w:basedOn w:val="CommentText"/>
    <w:next w:val="CommentText"/>
    <w:rPr>
      <w:b/>
      <w:bCs/>
    </w:rPr>
  </w:style>
  <w:style w:type="character" w:customStyle="1" w:styleId="CharChar1">
    <w:name w:val="Char Char1"/>
    <w:semiHidden/>
    <w:rPr>
      <w:lang w:val="en-GB" w:eastAsia="en-US"/>
    </w:rPr>
  </w:style>
  <w:style w:type="character" w:customStyle="1" w:styleId="PedmtkomenteChar">
    <w:name w:val="Předmět komentáře Char"/>
    <w:rPr>
      <w:lang w:val="en-GB" w:eastAsia="en-US"/>
    </w:rPr>
  </w:style>
  <w:style w:type="paragraph" w:customStyle="1" w:styleId="Textbubliny2">
    <w:name w:val="Text bubliny2"/>
    <w:basedOn w:val="Normal"/>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val="en-GB" w:eastAsia="en-US"/>
    </w:rPr>
  </w:style>
  <w:style w:type="paragraph" w:customStyle="1" w:styleId="Pedmtkomente2">
    <w:name w:val="Předmět komentáře2"/>
    <w:basedOn w:val="CommentText"/>
    <w:next w:val="CommentText"/>
    <w:semiHidden/>
    <w:unhideWhenUsed/>
    <w:rPr>
      <w:b/>
      <w:bCs/>
    </w:rPr>
  </w:style>
  <w:style w:type="character" w:customStyle="1" w:styleId="TextkomenteChar">
    <w:name w:val="Text komentáře Char"/>
    <w:semiHidden/>
    <w:rPr>
      <w:lang w:val="en-GB" w:eastAsia="en-US"/>
    </w:rPr>
  </w:style>
  <w:style w:type="character" w:customStyle="1" w:styleId="PedmtkomenteChar1">
    <w:name w:val="Předmět komentáře Char1"/>
    <w:rPr>
      <w:lang w:val="en-GB" w:eastAsia="en-US"/>
    </w:rPr>
  </w:style>
  <w:style w:type="paragraph" w:customStyle="1" w:styleId="Standardntext">
    <w:name w:val="Standardní text"/>
    <w:basedOn w:val="Normal"/>
    <w:pPr>
      <w:jc w:val="both"/>
    </w:pPr>
    <w:rPr>
      <w:noProof/>
      <w:sz w:val="24"/>
      <w:lang w:eastAsia="cs-CZ"/>
    </w:rPr>
  </w:style>
  <w:style w:type="paragraph" w:styleId="BalloonText">
    <w:name w:val="Balloon Text"/>
    <w:basedOn w:val="Normal"/>
    <w:semiHidden/>
    <w:rsid w:val="00977FBE"/>
    <w:rPr>
      <w:rFonts w:ascii="Tahoma" w:hAnsi="Tahoma" w:cs="Tahoma"/>
      <w:sz w:val="16"/>
      <w:szCs w:val="16"/>
    </w:rPr>
  </w:style>
  <w:style w:type="character" w:styleId="FootnoteReference">
    <w:name w:val="footnote reference"/>
    <w:aliases w:val="ftref,BVI fnr,Footnotes refss"/>
    <w:uiPriority w:val="99"/>
    <w:rsid w:val="00FC62EA"/>
    <w:rPr>
      <w:vertAlign w:val="superscript"/>
    </w:rPr>
  </w:style>
  <w:style w:type="character" w:customStyle="1" w:styleId="FootnoteTextChar">
    <w:name w:val="Footnote Text Char"/>
    <w:link w:val="FootnoteText"/>
    <w:uiPriority w:val="99"/>
    <w:semiHidden/>
    <w:rsid w:val="00FC62EA"/>
    <w:rPr>
      <w:lang w:val="en-GB" w:eastAsia="en-US"/>
    </w:rPr>
  </w:style>
  <w:style w:type="character" w:customStyle="1" w:styleId="longtext1">
    <w:name w:val="long_text1"/>
    <w:rsid w:val="00A511A2"/>
    <w:rPr>
      <w:sz w:val="20"/>
      <w:szCs w:val="20"/>
    </w:rPr>
  </w:style>
  <w:style w:type="paragraph" w:styleId="CommentSubject">
    <w:name w:val="annotation subject"/>
    <w:basedOn w:val="CommentText"/>
    <w:next w:val="CommentText"/>
    <w:semiHidden/>
    <w:rsid w:val="007550BE"/>
    <w:rPr>
      <w:b/>
      <w:bCs/>
    </w:rPr>
  </w:style>
  <w:style w:type="paragraph" w:customStyle="1" w:styleId="2ndpage">
    <w:name w:val="2nd page"/>
    <w:aliases w:val="contact"/>
    <w:basedOn w:val="Normal"/>
    <w:rsid w:val="00E34C58"/>
    <w:pPr>
      <w:spacing w:after="40"/>
      <w:jc w:val="both"/>
    </w:pPr>
    <w:rPr>
      <w:rFonts w:ascii="Univers LT Std 45 Light" w:eastAsia="Batang" w:hAnsi="Univers LT Std 45 Light"/>
      <w:sz w:val="18"/>
      <w:szCs w:val="24"/>
      <w:lang w:val="en-US" w:eastAsia="ko-KR"/>
    </w:rPr>
  </w:style>
  <w:style w:type="character" w:customStyle="1" w:styleId="nowrap">
    <w:name w:val="nowrap"/>
    <w:rsid w:val="005C7603"/>
  </w:style>
  <w:style w:type="paragraph" w:customStyle="1" w:styleId="Revision1">
    <w:name w:val="Revision1"/>
    <w:hidden/>
    <w:uiPriority w:val="99"/>
    <w:semiHidden/>
    <w:rsid w:val="005C7603"/>
    <w:rPr>
      <w:lang w:val="en-GB" w:eastAsia="en-US"/>
    </w:rPr>
  </w:style>
  <w:style w:type="character" w:customStyle="1" w:styleId="st">
    <w:name w:val="st"/>
    <w:basedOn w:val="DefaultParagraphFont"/>
    <w:rsid w:val="00F25753"/>
  </w:style>
  <w:style w:type="character" w:customStyle="1" w:styleId="hps">
    <w:name w:val="hps"/>
    <w:basedOn w:val="DefaultParagraphFont"/>
    <w:rsid w:val="002142A6"/>
  </w:style>
  <w:style w:type="character" w:styleId="Emphasis">
    <w:name w:val="Emphasis"/>
    <w:qFormat/>
    <w:rsid w:val="002142A6"/>
    <w:rPr>
      <w:i/>
      <w:iCs/>
    </w:rPr>
  </w:style>
  <w:style w:type="paragraph" w:customStyle="1" w:styleId="ListParagraph1">
    <w:name w:val="List Paragraph1"/>
    <w:basedOn w:val="Normal"/>
    <w:uiPriority w:val="99"/>
    <w:qFormat/>
    <w:rsid w:val="00A84C07"/>
    <w:pPr>
      <w:spacing w:after="160" w:line="259" w:lineRule="auto"/>
      <w:ind w:left="720"/>
      <w:contextualSpacing/>
    </w:pPr>
    <w:rPr>
      <w:rFonts w:ascii="Calibri" w:eastAsia="Calibri" w:hAnsi="Calibri"/>
      <w:sz w:val="22"/>
      <w:szCs w:val="22"/>
    </w:rPr>
  </w:style>
  <w:style w:type="character" w:customStyle="1" w:styleId="apple-converted-space">
    <w:name w:val="apple-converted-space"/>
    <w:rsid w:val="00305348"/>
  </w:style>
  <w:style w:type="paragraph" w:customStyle="1" w:styleId="BodyText1">
    <w:name w:val="Body Text1"/>
    <w:basedOn w:val="BodyText"/>
    <w:rsid w:val="009829C2"/>
    <w:rPr>
      <w:rFonts w:ascii="Arial" w:hAnsi="Arial"/>
      <w:b w:val="0"/>
      <w:sz w:val="20"/>
      <w:lang w:val="en-GB" w:eastAsia="en-GB"/>
    </w:rPr>
  </w:style>
  <w:style w:type="character" w:customStyle="1" w:styleId="StyleArial9pt">
    <w:name w:val="Style Arial 9 pt"/>
    <w:rsid w:val="009829C2"/>
    <w:rPr>
      <w:rFonts w:ascii="Arial" w:hAnsi="Arial"/>
      <w:i/>
      <w:sz w:val="18"/>
    </w:rPr>
  </w:style>
  <w:style w:type="paragraph" w:customStyle="1" w:styleId="Headingbold10pt">
    <w:name w:val="Heading bold 10pt"/>
    <w:basedOn w:val="Normal"/>
    <w:qFormat/>
    <w:rsid w:val="009829C2"/>
    <w:rPr>
      <w:rFonts w:ascii="Arial" w:hAnsi="Arial"/>
      <w:b/>
      <w:szCs w:val="24"/>
      <w:lang w:val="en-US"/>
    </w:rPr>
  </w:style>
  <w:style w:type="paragraph" w:customStyle="1" w:styleId="Headingbold9pt">
    <w:name w:val="Heading bold 9pt"/>
    <w:basedOn w:val="Headingbold10pt"/>
    <w:qFormat/>
    <w:rsid w:val="009829C2"/>
    <w:rPr>
      <w:sz w:val="18"/>
    </w:rPr>
  </w:style>
  <w:style w:type="paragraph" w:customStyle="1" w:styleId="Bodytext9pt">
    <w:name w:val="Body text 9pt"/>
    <w:basedOn w:val="Normal"/>
    <w:qFormat/>
    <w:rsid w:val="009829C2"/>
    <w:rPr>
      <w:rFonts w:ascii="Arial" w:hAnsi="Arial"/>
      <w:sz w:val="18"/>
      <w:szCs w:val="18"/>
      <w:lang w:val="en-GB" w:eastAsia="en-GB"/>
    </w:rPr>
  </w:style>
  <w:style w:type="paragraph" w:customStyle="1" w:styleId="ColorfulList-Accent11">
    <w:name w:val="Colorful List - Accent 11"/>
    <w:basedOn w:val="Normal"/>
    <w:uiPriority w:val="34"/>
    <w:qFormat/>
    <w:rsid w:val="009829C2"/>
    <w:pPr>
      <w:ind w:left="720"/>
      <w:contextualSpacing/>
    </w:pPr>
    <w:rPr>
      <w:rFonts w:ascii="Univers Next for HSBC Light" w:hAnsi="Univers Next for HSBC Light"/>
      <w:sz w:val="24"/>
      <w:szCs w:val="24"/>
      <w:lang w:val="en-US"/>
    </w:rPr>
  </w:style>
  <w:style w:type="paragraph" w:customStyle="1" w:styleId="m273465258685640320msolistparagraph">
    <w:name w:val="m_273465258685640320msolistparagraph"/>
    <w:basedOn w:val="Normal"/>
    <w:rsid w:val="00B85F9A"/>
    <w:pPr>
      <w:spacing w:before="100" w:beforeAutospacing="1" w:after="100" w:afterAutospacing="1"/>
    </w:pPr>
    <w:rPr>
      <w:sz w:val="24"/>
      <w:szCs w:val="24"/>
      <w:lang w:eastAsia="en-GB"/>
    </w:rPr>
  </w:style>
  <w:style w:type="character" w:customStyle="1" w:styleId="FooterChar">
    <w:name w:val="Footer Char"/>
    <w:link w:val="Footer"/>
    <w:rsid w:val="006556D4"/>
    <w:rPr>
      <w:lang w:val="cs-CZ"/>
    </w:rPr>
  </w:style>
  <w:style w:type="paragraph" w:styleId="Revision">
    <w:name w:val="Revision"/>
    <w:hidden/>
    <w:uiPriority w:val="99"/>
    <w:semiHidden/>
    <w:rsid w:val="00466421"/>
    <w:rPr>
      <w:lang w:eastAsia="en-US"/>
    </w:rPr>
  </w:style>
  <w:style w:type="character" w:customStyle="1" w:styleId="UnresolvedMention1">
    <w:name w:val="Unresolved Mention1"/>
    <w:uiPriority w:val="99"/>
    <w:semiHidden/>
    <w:unhideWhenUsed/>
    <w:rsid w:val="00F07C39"/>
    <w:rPr>
      <w:color w:val="605E5C"/>
      <w:shd w:val="clear" w:color="auto" w:fill="E1DFDD"/>
    </w:rPr>
  </w:style>
  <w:style w:type="table" w:styleId="TableGrid">
    <w:name w:val="Table Grid"/>
    <w:basedOn w:val="TableNormal"/>
    <w:rsid w:val="0045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DC0"/>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9E6036"/>
    <w:pPr>
      <w:autoSpaceDE w:val="0"/>
      <w:autoSpaceDN w:val="0"/>
      <w:adjustRightInd w:val="0"/>
    </w:pPr>
    <w:rPr>
      <w:rFonts w:ascii="Arial" w:eastAsiaTheme="minorHAnsi" w:hAnsi="Arial" w:cs="Arial"/>
      <w:color w:val="000000"/>
      <w:sz w:val="24"/>
      <w:szCs w:val="24"/>
      <w:lang w:val="en-GB" w:eastAsia="en-US"/>
    </w:rPr>
  </w:style>
  <w:style w:type="character" w:styleId="UnresolvedMention">
    <w:name w:val="Unresolved Mention"/>
    <w:basedOn w:val="DefaultParagraphFont"/>
    <w:uiPriority w:val="99"/>
    <w:semiHidden/>
    <w:unhideWhenUsed/>
    <w:rsid w:val="004C5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7061">
      <w:bodyDiv w:val="1"/>
      <w:marLeft w:val="0"/>
      <w:marRight w:val="0"/>
      <w:marTop w:val="0"/>
      <w:marBottom w:val="0"/>
      <w:divBdr>
        <w:top w:val="none" w:sz="0" w:space="0" w:color="auto"/>
        <w:left w:val="none" w:sz="0" w:space="0" w:color="auto"/>
        <w:bottom w:val="none" w:sz="0" w:space="0" w:color="auto"/>
        <w:right w:val="none" w:sz="0" w:space="0" w:color="auto"/>
      </w:divBdr>
    </w:div>
    <w:div w:id="276329514">
      <w:bodyDiv w:val="1"/>
      <w:marLeft w:val="0"/>
      <w:marRight w:val="0"/>
      <w:marTop w:val="0"/>
      <w:marBottom w:val="0"/>
      <w:divBdr>
        <w:top w:val="none" w:sz="0" w:space="0" w:color="auto"/>
        <w:left w:val="none" w:sz="0" w:space="0" w:color="auto"/>
        <w:bottom w:val="none" w:sz="0" w:space="0" w:color="auto"/>
        <w:right w:val="none" w:sz="0" w:space="0" w:color="auto"/>
      </w:divBdr>
    </w:div>
    <w:div w:id="300352439">
      <w:bodyDiv w:val="1"/>
      <w:marLeft w:val="0"/>
      <w:marRight w:val="0"/>
      <w:marTop w:val="0"/>
      <w:marBottom w:val="0"/>
      <w:divBdr>
        <w:top w:val="none" w:sz="0" w:space="0" w:color="auto"/>
        <w:left w:val="none" w:sz="0" w:space="0" w:color="auto"/>
        <w:bottom w:val="none" w:sz="0" w:space="0" w:color="auto"/>
        <w:right w:val="none" w:sz="0" w:space="0" w:color="auto"/>
      </w:divBdr>
    </w:div>
    <w:div w:id="302274587">
      <w:bodyDiv w:val="1"/>
      <w:marLeft w:val="0"/>
      <w:marRight w:val="0"/>
      <w:marTop w:val="0"/>
      <w:marBottom w:val="0"/>
      <w:divBdr>
        <w:top w:val="none" w:sz="0" w:space="0" w:color="auto"/>
        <w:left w:val="none" w:sz="0" w:space="0" w:color="auto"/>
        <w:bottom w:val="none" w:sz="0" w:space="0" w:color="auto"/>
        <w:right w:val="none" w:sz="0" w:space="0" w:color="auto"/>
      </w:divBdr>
    </w:div>
    <w:div w:id="762266945">
      <w:bodyDiv w:val="1"/>
      <w:marLeft w:val="0"/>
      <w:marRight w:val="0"/>
      <w:marTop w:val="0"/>
      <w:marBottom w:val="0"/>
      <w:divBdr>
        <w:top w:val="none" w:sz="0" w:space="0" w:color="auto"/>
        <w:left w:val="none" w:sz="0" w:space="0" w:color="auto"/>
        <w:bottom w:val="none" w:sz="0" w:space="0" w:color="auto"/>
        <w:right w:val="none" w:sz="0" w:space="0" w:color="auto"/>
      </w:divBdr>
    </w:div>
    <w:div w:id="805858977">
      <w:bodyDiv w:val="1"/>
      <w:marLeft w:val="0"/>
      <w:marRight w:val="0"/>
      <w:marTop w:val="0"/>
      <w:marBottom w:val="0"/>
      <w:divBdr>
        <w:top w:val="none" w:sz="0" w:space="0" w:color="auto"/>
        <w:left w:val="none" w:sz="0" w:space="0" w:color="auto"/>
        <w:bottom w:val="none" w:sz="0" w:space="0" w:color="auto"/>
        <w:right w:val="none" w:sz="0" w:space="0" w:color="auto"/>
      </w:divBdr>
    </w:div>
    <w:div w:id="962157210">
      <w:bodyDiv w:val="1"/>
      <w:marLeft w:val="0"/>
      <w:marRight w:val="0"/>
      <w:marTop w:val="0"/>
      <w:marBottom w:val="0"/>
      <w:divBdr>
        <w:top w:val="none" w:sz="0" w:space="0" w:color="auto"/>
        <w:left w:val="none" w:sz="0" w:space="0" w:color="auto"/>
        <w:bottom w:val="none" w:sz="0" w:space="0" w:color="auto"/>
        <w:right w:val="none" w:sz="0" w:space="0" w:color="auto"/>
      </w:divBdr>
    </w:div>
    <w:div w:id="1063135844">
      <w:bodyDiv w:val="1"/>
      <w:marLeft w:val="0"/>
      <w:marRight w:val="0"/>
      <w:marTop w:val="0"/>
      <w:marBottom w:val="0"/>
      <w:divBdr>
        <w:top w:val="none" w:sz="0" w:space="0" w:color="auto"/>
        <w:left w:val="none" w:sz="0" w:space="0" w:color="auto"/>
        <w:bottom w:val="none" w:sz="0" w:space="0" w:color="auto"/>
        <w:right w:val="none" w:sz="0" w:space="0" w:color="auto"/>
      </w:divBdr>
    </w:div>
    <w:div w:id="1250578185">
      <w:bodyDiv w:val="1"/>
      <w:marLeft w:val="0"/>
      <w:marRight w:val="0"/>
      <w:marTop w:val="0"/>
      <w:marBottom w:val="0"/>
      <w:divBdr>
        <w:top w:val="none" w:sz="0" w:space="0" w:color="auto"/>
        <w:left w:val="none" w:sz="0" w:space="0" w:color="auto"/>
        <w:bottom w:val="none" w:sz="0" w:space="0" w:color="auto"/>
        <w:right w:val="none" w:sz="0" w:space="0" w:color="auto"/>
      </w:divBdr>
    </w:div>
    <w:div w:id="1309944271">
      <w:bodyDiv w:val="1"/>
      <w:marLeft w:val="0"/>
      <w:marRight w:val="0"/>
      <w:marTop w:val="0"/>
      <w:marBottom w:val="0"/>
      <w:divBdr>
        <w:top w:val="none" w:sz="0" w:space="0" w:color="auto"/>
        <w:left w:val="none" w:sz="0" w:space="0" w:color="auto"/>
        <w:bottom w:val="none" w:sz="0" w:space="0" w:color="auto"/>
        <w:right w:val="none" w:sz="0" w:space="0" w:color="auto"/>
      </w:divBdr>
      <w:divsChild>
        <w:div w:id="1400785860">
          <w:marLeft w:val="0"/>
          <w:marRight w:val="0"/>
          <w:marTop w:val="0"/>
          <w:marBottom w:val="0"/>
          <w:divBdr>
            <w:top w:val="none" w:sz="0" w:space="0" w:color="auto"/>
            <w:left w:val="none" w:sz="0" w:space="0" w:color="auto"/>
            <w:bottom w:val="none" w:sz="0" w:space="0" w:color="auto"/>
            <w:right w:val="none" w:sz="0" w:space="0" w:color="auto"/>
          </w:divBdr>
          <w:divsChild>
            <w:div w:id="512838059">
              <w:marLeft w:val="0"/>
              <w:marRight w:val="0"/>
              <w:marTop w:val="0"/>
              <w:marBottom w:val="0"/>
              <w:divBdr>
                <w:top w:val="none" w:sz="0" w:space="0" w:color="auto"/>
                <w:left w:val="none" w:sz="0" w:space="0" w:color="auto"/>
                <w:bottom w:val="none" w:sz="0" w:space="0" w:color="auto"/>
                <w:right w:val="none" w:sz="0" w:space="0" w:color="auto"/>
              </w:divBdr>
              <w:divsChild>
                <w:div w:id="2128890459">
                  <w:marLeft w:val="0"/>
                  <w:marRight w:val="0"/>
                  <w:marTop w:val="0"/>
                  <w:marBottom w:val="0"/>
                  <w:divBdr>
                    <w:top w:val="none" w:sz="0" w:space="0" w:color="auto"/>
                    <w:left w:val="none" w:sz="0" w:space="0" w:color="auto"/>
                    <w:bottom w:val="none" w:sz="0" w:space="0" w:color="auto"/>
                    <w:right w:val="none" w:sz="0" w:space="0" w:color="auto"/>
                  </w:divBdr>
                  <w:divsChild>
                    <w:div w:id="1153985667">
                      <w:marLeft w:val="0"/>
                      <w:marRight w:val="0"/>
                      <w:marTop w:val="0"/>
                      <w:marBottom w:val="0"/>
                      <w:divBdr>
                        <w:top w:val="none" w:sz="0" w:space="0" w:color="auto"/>
                        <w:left w:val="none" w:sz="0" w:space="0" w:color="auto"/>
                        <w:bottom w:val="none" w:sz="0" w:space="0" w:color="auto"/>
                        <w:right w:val="none" w:sz="0" w:space="0" w:color="auto"/>
                      </w:divBdr>
                      <w:divsChild>
                        <w:div w:id="960956205">
                          <w:marLeft w:val="0"/>
                          <w:marRight w:val="0"/>
                          <w:marTop w:val="0"/>
                          <w:marBottom w:val="0"/>
                          <w:divBdr>
                            <w:top w:val="none" w:sz="0" w:space="0" w:color="auto"/>
                            <w:left w:val="none" w:sz="0" w:space="0" w:color="auto"/>
                            <w:bottom w:val="none" w:sz="0" w:space="0" w:color="auto"/>
                            <w:right w:val="none" w:sz="0" w:space="0" w:color="auto"/>
                          </w:divBdr>
                          <w:divsChild>
                            <w:div w:id="9187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371062">
      <w:bodyDiv w:val="1"/>
      <w:marLeft w:val="0"/>
      <w:marRight w:val="0"/>
      <w:marTop w:val="0"/>
      <w:marBottom w:val="0"/>
      <w:divBdr>
        <w:top w:val="none" w:sz="0" w:space="0" w:color="auto"/>
        <w:left w:val="none" w:sz="0" w:space="0" w:color="auto"/>
        <w:bottom w:val="none" w:sz="0" w:space="0" w:color="auto"/>
        <w:right w:val="none" w:sz="0" w:space="0" w:color="auto"/>
      </w:divBdr>
    </w:div>
    <w:div w:id="1900630170">
      <w:bodyDiv w:val="1"/>
      <w:marLeft w:val="0"/>
      <w:marRight w:val="0"/>
      <w:marTop w:val="0"/>
      <w:marBottom w:val="0"/>
      <w:divBdr>
        <w:top w:val="none" w:sz="0" w:space="0" w:color="auto"/>
        <w:left w:val="none" w:sz="0" w:space="0" w:color="auto"/>
        <w:bottom w:val="none" w:sz="0" w:space="0" w:color="auto"/>
        <w:right w:val="none" w:sz="0" w:space="0" w:color="auto"/>
      </w:divBdr>
    </w:div>
    <w:div w:id="2113547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inik.jezek@havas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7898-A681-1F41-810F-15998A3E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1335</Words>
  <Characters>7616</Characters>
  <Application>Microsoft Office Word</Application>
  <DocSecurity>0</DocSecurity>
  <Lines>63</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June 2003</vt:lpstr>
      <vt:lpstr>June 2003</vt:lpstr>
    </vt:vector>
  </TitlesOfParts>
  <Company>TOSHIBA</Company>
  <LinksUpToDate>false</LinksUpToDate>
  <CharactersWithSpaces>8934</CharactersWithSpaces>
  <SharedDoc>false</SharedDoc>
  <HLinks>
    <vt:vector size="12" baseType="variant">
      <vt:variant>
        <vt:i4>2097271</vt:i4>
      </vt:variant>
      <vt:variant>
        <vt:i4>3</vt:i4>
      </vt:variant>
      <vt:variant>
        <vt:i4>0</vt:i4>
      </vt:variant>
      <vt:variant>
        <vt:i4>5</vt:i4>
      </vt:variant>
      <vt:variant>
        <vt:lpwstr>https://www.business.hsbc.com/navigator</vt:lpwstr>
      </vt:variant>
      <vt:variant>
        <vt:lpwstr/>
      </vt:variant>
      <vt:variant>
        <vt:i4>538910734</vt:i4>
      </vt:variant>
      <vt:variant>
        <vt:i4>0</vt:i4>
      </vt:variant>
      <vt:variant>
        <vt:i4>0</vt:i4>
      </vt:variant>
      <vt:variant>
        <vt:i4>5</vt:i4>
      </vt:variant>
      <vt:variant>
        <vt:lpwstr>navigator: Made for the Future, a survey of over 2,500 companies in 14 countries and territories, shows that 34%25 of decision-makers think their technological focus will ‘totally’ change over the coming 24 months, with a further 45%25 expecting ‘slight’ change. As they seek to become more customer-centric and to boost productivity, over half (55%25) plan to invest more in research and 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subject/>
  <dc:creator>Charlie Brett</dc:creator>
  <cp:keywords>PUBLIC -</cp:keywords>
  <dc:description>PUBLIC</dc:description>
  <cp:lastModifiedBy>Dominik Jezek</cp:lastModifiedBy>
  <cp:revision>5</cp:revision>
  <cp:lastPrinted>2018-06-06T15:10:00Z</cp:lastPrinted>
  <dcterms:created xsi:type="dcterms:W3CDTF">2020-11-03T15:50:00Z</dcterms:created>
  <dcterms:modified xsi:type="dcterms:W3CDTF">2020-11-04T15:41:00Z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ies>
</file>