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681E" w14:textId="77777777" w:rsidR="00AB515D" w:rsidRPr="00433B62" w:rsidRDefault="00AB515D" w:rsidP="004E1D63">
      <w:pPr>
        <w:rPr>
          <w:rFonts w:ascii="Calibri" w:hAnsi="Calibri" w:cs="Calibri"/>
          <w:b/>
          <w:sz w:val="24"/>
        </w:rPr>
      </w:pPr>
    </w:p>
    <w:p w14:paraId="67609745" w14:textId="13A23728" w:rsidR="00ED1B81" w:rsidRPr="00ED1B81" w:rsidRDefault="00ED1B81" w:rsidP="00ED1B81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ezoi14pvxii" w:colFirst="0" w:colLast="0"/>
      <w:bookmarkEnd w:id="0"/>
      <w:r w:rsidRPr="00ED1B81">
        <w:rPr>
          <w:rFonts w:ascii="Calibri" w:hAnsi="Calibri" w:cs="Calibri"/>
          <w:b/>
          <w:bCs/>
          <w:sz w:val="28"/>
          <w:szCs w:val="28"/>
        </w:rPr>
        <w:t xml:space="preserve">Podniky očekávají dvourychlostní zotavení z pandemie covid-19 </w:t>
      </w:r>
    </w:p>
    <w:p w14:paraId="0EDA27A7" w14:textId="7F980E73" w:rsidR="00E73FBC" w:rsidRPr="00433B62" w:rsidRDefault="00E73FBC" w:rsidP="7CCEFD35">
      <w:pPr>
        <w:spacing w:after="160" w:line="259" w:lineRule="auto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1F0A7325" w14:textId="3A11A844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  <w:bookmarkStart w:id="1" w:name="_GoBack"/>
      <w:r w:rsidRPr="00ED1B81">
        <w:rPr>
          <w:rFonts w:cs="Arial"/>
          <w:sz w:val="21"/>
          <w:szCs w:val="21"/>
          <w:lang w:val="cs-CZ"/>
        </w:rPr>
        <w:t xml:space="preserve">Praha, </w:t>
      </w:r>
      <w:r w:rsidR="000C0F8E">
        <w:rPr>
          <w:rFonts w:cs="Arial"/>
          <w:sz w:val="21"/>
          <w:szCs w:val="21"/>
          <w:lang w:val="cs-CZ"/>
        </w:rPr>
        <w:t>2</w:t>
      </w:r>
      <w:r w:rsidRPr="00ED1B81">
        <w:rPr>
          <w:rFonts w:cs="Arial"/>
          <w:sz w:val="21"/>
          <w:szCs w:val="21"/>
          <w:lang w:val="cs-CZ"/>
        </w:rPr>
        <w:t xml:space="preserve">. </w:t>
      </w:r>
      <w:r w:rsidR="0015409F">
        <w:rPr>
          <w:rFonts w:cs="Arial"/>
          <w:sz w:val="21"/>
          <w:szCs w:val="21"/>
          <w:lang w:val="cs-CZ"/>
        </w:rPr>
        <w:t>prosince</w:t>
      </w:r>
      <w:r w:rsidRPr="00ED1B81">
        <w:rPr>
          <w:rFonts w:cs="Arial"/>
          <w:sz w:val="21"/>
          <w:szCs w:val="21"/>
          <w:lang w:val="cs-CZ"/>
        </w:rPr>
        <w:t xml:space="preserve"> 2020 – Zatímco celý svět netrpělivě čeká na vakcíny proti koronaviru, nová studie banky HSBC popisuje dvourychlostní zotavení ekonomiky, které může trvat i několik let vzhledem k tomu, že pandemie nově definuje obchodní úspěchy. </w:t>
      </w:r>
    </w:p>
    <w:bookmarkEnd w:id="1"/>
    <w:p w14:paraId="6EF02383" w14:textId="77777777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</w:p>
    <w:p w14:paraId="0D8F46F6" w14:textId="51C2337A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  <w:r w:rsidRPr="00ED1B81">
        <w:rPr>
          <w:rFonts w:cs="Arial"/>
          <w:sz w:val="21"/>
          <w:szCs w:val="21"/>
          <w:lang w:val="cs-CZ"/>
        </w:rPr>
        <w:t xml:space="preserve">Každoroční průzkum </w:t>
      </w:r>
      <w:r w:rsidRPr="00ED1B81">
        <w:rPr>
          <w:rFonts w:cs="Arial"/>
          <w:b/>
          <w:bCs/>
          <w:sz w:val="21"/>
          <w:szCs w:val="21"/>
          <w:lang w:val="cs-CZ"/>
        </w:rPr>
        <w:t>Navigator</w:t>
      </w:r>
      <w:r w:rsidRPr="00ED1B81">
        <w:rPr>
          <w:rFonts w:cs="Arial"/>
          <w:sz w:val="21"/>
          <w:szCs w:val="21"/>
          <w:lang w:val="cs-CZ"/>
        </w:rPr>
        <w:t xml:space="preserve"> společnosti HSBC, sestavený z názorů více než 10 000 společností ve 39 zemích a teritoriích, zjistil, že 8 % společností je ziskovějších než před vypuknutím epidemie covid-19 a 45 % očekává návrat k ziskovosti před covidem</w:t>
      </w:r>
      <w:r w:rsidR="007704D6">
        <w:rPr>
          <w:rFonts w:cs="Arial"/>
          <w:sz w:val="21"/>
          <w:szCs w:val="21"/>
          <w:lang w:val="cs-CZ"/>
        </w:rPr>
        <w:t>-19</w:t>
      </w:r>
      <w:r w:rsidRPr="00ED1B81">
        <w:rPr>
          <w:rFonts w:cs="Arial"/>
          <w:sz w:val="21"/>
          <w:szCs w:val="21"/>
          <w:lang w:val="cs-CZ"/>
        </w:rPr>
        <w:t xml:space="preserve"> do konce roku 2021. Na druhou stranu si 28 % podniků myslí, že tohoto stavu dosáhnou ke konci roku 2022, a dalších 11 % hledí až k roku 2023. 6 % dotázaných vidí návrat k předkrizové ziskovosti v roce 2024 nebo později.</w:t>
      </w:r>
    </w:p>
    <w:p w14:paraId="4CA21446" w14:textId="77777777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</w:p>
    <w:p w14:paraId="00F09128" w14:textId="0674E68B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  <w:r w:rsidRPr="00ED1B81">
        <w:rPr>
          <w:rFonts w:cs="Arial"/>
          <w:sz w:val="21"/>
          <w:szCs w:val="21"/>
          <w:lang w:val="cs-CZ"/>
        </w:rPr>
        <w:t>I přesto, že počet společností očekávajících růst tržeb v příštím roce (64</w:t>
      </w:r>
      <w:r w:rsidR="00F12852"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>%) poklesl o 15</w:t>
      </w:r>
      <w:r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>procentních bodů ve srovnání s minulým rokem, a podíl těch s nulovým růstem se zdvojnásobil, čtyři z deseti (42</w:t>
      </w:r>
      <w:r w:rsidR="00F12852"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>%) podniků očekávají v roce 2021 růst tržeb o více než 5</w:t>
      </w:r>
      <w:r w:rsidR="00F12852"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>%. Charakteristickým rysem těchto firem s „vysokým růstem“ je, že téměř všechny (89</w:t>
      </w:r>
      <w:r w:rsidR="00F12852"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>%) navyšují své investice. Naproti tomu čtvrtina (24</w:t>
      </w:r>
      <w:r w:rsidR="00F12852"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>%) podniků očekávající nižší tržby plánuje škrty a dva z pěti (42</w:t>
      </w:r>
      <w:r w:rsidR="00F12852"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>%) plánují méně investovat do svého podnikání.</w:t>
      </w:r>
    </w:p>
    <w:p w14:paraId="27FD6933" w14:textId="77777777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</w:p>
    <w:p w14:paraId="3FB98FD0" w14:textId="416CB099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  <w:r w:rsidRPr="00ED1B81">
        <w:rPr>
          <w:rFonts w:cs="Arial"/>
          <w:sz w:val="21"/>
          <w:szCs w:val="21"/>
          <w:lang w:val="cs-CZ"/>
        </w:rPr>
        <w:t>Průzkum vyzdvihuje digitalizaci jako klíčovou během pandemie, což dokládá i fakt, že firmy s „vysokým růstem“ realizují většinu prodejů online. Třetina (32</w:t>
      </w:r>
      <w:r w:rsidR="00F12852"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>%) těchto firem očekává, že vyšší efektivita díky technologiím bude zásadní ve snaze postavit se opět na vlastní nohy. To je mnohem více než u podniků s nižším nebo žádným růstem. Není pak divu, že 88</w:t>
      </w:r>
      <w:r w:rsidR="00F12852"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 xml:space="preserve">% dotazovaných firem plánuje v příštím roce investovat do digitálních nástrojů a platforem, navíc třetina společností již inovovala své produkty a služby. </w:t>
      </w:r>
    </w:p>
    <w:p w14:paraId="4CCEEC13" w14:textId="77777777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</w:p>
    <w:p w14:paraId="39437E67" w14:textId="31852C13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  <w:r w:rsidRPr="00ED1B81">
        <w:rPr>
          <w:rFonts w:cs="Arial"/>
          <w:sz w:val="21"/>
          <w:szCs w:val="21"/>
          <w:lang w:val="cs-CZ"/>
        </w:rPr>
        <w:t>Mezi hlavní priority firem s vysokým růstem patří také podpora zaměstnanců. Až 90</w:t>
      </w:r>
      <w:r w:rsidR="00F12852"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>% dotázaných společností plánuje zvýšit kvalifikaci zaměstnanců a investovat do jejich blahobytu.</w:t>
      </w:r>
    </w:p>
    <w:p w14:paraId="6D5505AA" w14:textId="77777777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</w:p>
    <w:p w14:paraId="71C73933" w14:textId="4276651E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  <w:r w:rsidRPr="00ED1B81">
        <w:rPr>
          <w:rFonts w:cs="Arial"/>
          <w:sz w:val="21"/>
          <w:szCs w:val="21"/>
          <w:lang w:val="cs-CZ"/>
        </w:rPr>
        <w:t>Průzkum ukazuje i rostoucí význam odpovědnosti vůči životnímu prostředí. Převážná většina firem (86</w:t>
      </w:r>
      <w:r w:rsidR="00F12852"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>%), si myslí, že snaha zlepšit výsledky na poli udržitelnosti pomůže zvýšit prodeje. Tři ze čtyř firem si stanovily cíle v oblasti životního prostředí, sociální oblasti a řízení společností</w:t>
      </w:r>
      <w:r w:rsidR="00DC58A6">
        <w:rPr>
          <w:rFonts w:cs="Arial"/>
          <w:sz w:val="21"/>
          <w:szCs w:val="21"/>
          <w:lang w:val="cs-CZ"/>
        </w:rPr>
        <w:t xml:space="preserve"> </w:t>
      </w:r>
      <w:r w:rsidRPr="00ED1B81">
        <w:rPr>
          <w:rFonts w:cs="Arial"/>
          <w:sz w:val="21"/>
          <w:szCs w:val="21"/>
          <w:lang w:val="cs-CZ"/>
        </w:rPr>
        <w:t>se zaměřením na environmentální a sociální část (nárůst o</w:t>
      </w:r>
      <w:r w:rsidR="00DC58A6"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>10 a 12</w:t>
      </w:r>
      <w:r w:rsidR="00F12852"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>procentních bodů od roku 2019).</w:t>
      </w:r>
    </w:p>
    <w:p w14:paraId="02EA4FD8" w14:textId="77777777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</w:p>
    <w:p w14:paraId="7205BDC0" w14:textId="3D32DE73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  <w:r w:rsidRPr="00DC58A6">
        <w:rPr>
          <w:rFonts w:cs="Arial"/>
          <w:i/>
          <w:iCs/>
          <w:sz w:val="21"/>
          <w:szCs w:val="21"/>
          <w:lang w:val="cs-CZ"/>
        </w:rPr>
        <w:t>„Celkový sentiment se mezi firmami ve světě po vypuknutí nákazy zhoršil, nicméně některé závěry průzkumu jsou pro oživení po pandemii povzbuzující. Firmy s vysokým růstem si osvojují nové technologie, soustředí se na kvalitu života zaměstnanců a uvědomují si, že budoucí úspěch silně závisí na závazku k udržitelnosti. To je i případ firem v České republice. V diskusích s našimi klienty vidíme, že společnosti plánující pro budoucnost se zajímají o investice do všech těchto tří oblastí s cílem nejen uspíšit zotavení, ale zároveň se vymezit vůči konkurenci,“</w:t>
      </w:r>
      <w:r w:rsidRPr="00ED1B81">
        <w:rPr>
          <w:rFonts w:cs="Arial"/>
          <w:sz w:val="21"/>
          <w:szCs w:val="21"/>
          <w:lang w:val="cs-CZ"/>
        </w:rPr>
        <w:t xml:space="preserve"> říká Richard Keery, generální ředitel HSBC v České republice</w:t>
      </w:r>
      <w:r w:rsidR="00A35C58">
        <w:rPr>
          <w:rFonts w:cs="Arial"/>
          <w:sz w:val="21"/>
          <w:szCs w:val="21"/>
          <w:lang w:val="cs-CZ"/>
        </w:rPr>
        <w:t>.</w:t>
      </w:r>
    </w:p>
    <w:p w14:paraId="614D5600" w14:textId="77777777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</w:p>
    <w:p w14:paraId="6EE93A74" w14:textId="0167C64D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  <w:r w:rsidRPr="00ED1B81">
        <w:rPr>
          <w:rFonts w:cs="Arial"/>
          <w:sz w:val="21"/>
          <w:szCs w:val="21"/>
          <w:lang w:val="cs-CZ"/>
        </w:rPr>
        <w:t xml:space="preserve">Podle průzkumu HSBC Navigator </w:t>
      </w:r>
      <w:r w:rsidR="00DC58A6">
        <w:rPr>
          <w:rFonts w:cs="Arial"/>
          <w:sz w:val="21"/>
          <w:szCs w:val="21"/>
          <w:lang w:val="cs-CZ"/>
        </w:rPr>
        <w:t>mají nejoptimističtější očekávání růstu tržeb firmy z oblasti reklamy, PR a farmacie</w:t>
      </w:r>
      <w:r w:rsidRPr="00ED1B81">
        <w:rPr>
          <w:rFonts w:cs="Arial"/>
          <w:sz w:val="21"/>
          <w:szCs w:val="21"/>
          <w:lang w:val="cs-CZ"/>
        </w:rPr>
        <w:t xml:space="preserve">, následované </w:t>
      </w:r>
      <w:r w:rsidR="00DC58A6">
        <w:rPr>
          <w:rFonts w:cs="Arial"/>
          <w:sz w:val="21"/>
          <w:szCs w:val="21"/>
          <w:lang w:val="cs-CZ"/>
        </w:rPr>
        <w:t>společnostmi</w:t>
      </w:r>
      <w:r w:rsidRPr="00ED1B81">
        <w:rPr>
          <w:rFonts w:cs="Arial"/>
          <w:sz w:val="21"/>
          <w:szCs w:val="21"/>
          <w:lang w:val="cs-CZ"/>
        </w:rPr>
        <w:t xml:space="preserve"> v odvětvích energetiky, chemického průmyslu a technologických služeb. Optimismem příliš neoplývají společnosti v automobilovém průmyslu, telekomunikacích, cestovním ruchu a vzdělávání.</w:t>
      </w:r>
    </w:p>
    <w:p w14:paraId="04746908" w14:textId="77777777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</w:p>
    <w:p w14:paraId="00EE192C" w14:textId="73D69C79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  <w:r w:rsidRPr="00ED1B81">
        <w:rPr>
          <w:rFonts w:cs="Arial"/>
          <w:sz w:val="21"/>
          <w:szCs w:val="21"/>
          <w:lang w:val="cs-CZ"/>
        </w:rPr>
        <w:t>Zhruba polovina podniků očekává, že přeshraniční obchod bude náročnější než před pandemií, i přesto se jejich odhodlání usilovat o mezinárodní příležitosti nezmenšuje. Tři čtvrtiny podniků mají vůči svému mezinárodnímu obchodu v následujících dvou letech pozitivní přístup. Dvě z pěti firem (37</w:t>
      </w:r>
      <w:r w:rsidR="00F12852"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>%) věří, že rozšíření obzorů a nové zdroje pohledů pomohou zahraničnímu obchodu. Některé se domnívají, že mezinárodní obchod má skrze lokální ekonomiku pozitivní dopad na sociální sféru (30</w:t>
      </w:r>
      <w:r w:rsidR="00F12852"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 xml:space="preserve">%) a čtvrtina věří, že zahraniční obchod rozvíjí místní infrastrukturu. </w:t>
      </w:r>
    </w:p>
    <w:p w14:paraId="4948687A" w14:textId="77777777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</w:p>
    <w:p w14:paraId="79DCF2B3" w14:textId="20002935" w:rsidR="00ED1B81" w:rsidRPr="00ED1B81" w:rsidRDefault="00ED1B81" w:rsidP="00ED1B81">
      <w:pPr>
        <w:pStyle w:val="BodyText1"/>
        <w:spacing w:line="276" w:lineRule="auto"/>
        <w:rPr>
          <w:rFonts w:cs="Arial"/>
          <w:sz w:val="21"/>
          <w:szCs w:val="21"/>
          <w:lang w:val="cs-CZ"/>
        </w:rPr>
      </w:pPr>
      <w:r w:rsidRPr="00ED1B81">
        <w:rPr>
          <w:rFonts w:cs="Arial"/>
          <w:sz w:val="21"/>
          <w:szCs w:val="21"/>
          <w:lang w:val="cs-CZ"/>
        </w:rPr>
        <w:t>Firmy spíše mění své dodavatelské řetězce, než aby vracely výrobu a zpracování do svých domovských zemí, a to raději pomocí diverzifikace (28</w:t>
      </w:r>
      <w:r w:rsidR="00F12852"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>%), než snížením počtu dodavatelů (20</w:t>
      </w:r>
      <w:r w:rsidR="00F12852">
        <w:rPr>
          <w:rFonts w:cs="Arial"/>
          <w:sz w:val="21"/>
          <w:szCs w:val="21"/>
          <w:lang w:val="cs-CZ"/>
        </w:rPr>
        <w:t> </w:t>
      </w:r>
      <w:r w:rsidRPr="00ED1B81">
        <w:rPr>
          <w:rFonts w:cs="Arial"/>
          <w:sz w:val="21"/>
          <w:szCs w:val="21"/>
          <w:lang w:val="cs-CZ"/>
        </w:rPr>
        <w:t>%). Nicméně dodavatelské řetězce mají stále více působit na regionální úrovni – dvě pětiny firem uvedly, že se zaměřují na dodavatele v jejich regionu. Pokud jde o asijsko-pacifické firmy, pevninská Čína letos předstihla USA jakožto jejich hlavní zahraniční trh.</w:t>
      </w:r>
    </w:p>
    <w:p w14:paraId="3D0F1778" w14:textId="77777777" w:rsidR="00A07624" w:rsidRPr="00433B62" w:rsidRDefault="00A07624" w:rsidP="007223BD">
      <w:pPr>
        <w:rPr>
          <w:rStyle w:val="StyleArial9pt"/>
          <w:rFonts w:ascii="Calibri" w:hAnsi="Calibri" w:cs="Calibri"/>
          <w:sz w:val="20"/>
        </w:rPr>
      </w:pPr>
    </w:p>
    <w:p w14:paraId="433AD555" w14:textId="3E00BAE7" w:rsidR="007223BD" w:rsidRPr="00433B62" w:rsidRDefault="007223BD" w:rsidP="007223BD">
      <w:pPr>
        <w:rPr>
          <w:rStyle w:val="StyleArial9pt"/>
          <w:rFonts w:ascii="Calibri" w:hAnsi="Calibri" w:cs="Calibri"/>
          <w:sz w:val="20"/>
        </w:rPr>
      </w:pPr>
      <w:r w:rsidRPr="00433B62">
        <w:rPr>
          <w:rStyle w:val="StyleArial9pt"/>
          <w:rFonts w:ascii="Calibri" w:hAnsi="Calibri" w:cs="Calibri"/>
          <w:sz w:val="20"/>
        </w:rPr>
        <w:t>______________________________________________________________________________</w:t>
      </w:r>
    </w:p>
    <w:p w14:paraId="4316E6EF" w14:textId="77777777" w:rsidR="007223BD" w:rsidRPr="00433B62" w:rsidRDefault="007223BD" w:rsidP="007223BD">
      <w:pPr>
        <w:rPr>
          <w:rFonts w:ascii="Calibri" w:hAnsi="Calibri" w:cs="Calibri"/>
        </w:rPr>
      </w:pPr>
    </w:p>
    <w:p w14:paraId="60A63C7C" w14:textId="77777777" w:rsidR="007223BD" w:rsidRPr="00433B62" w:rsidRDefault="007223BD" w:rsidP="007223BD">
      <w:pPr>
        <w:pStyle w:val="Headingbold10pt"/>
        <w:rPr>
          <w:rFonts w:ascii="Calibri" w:hAnsi="Calibri" w:cs="Calibri"/>
          <w:szCs w:val="20"/>
          <w:lang w:val="cs-CZ"/>
        </w:rPr>
      </w:pPr>
      <w:r w:rsidRPr="00433B62">
        <w:rPr>
          <w:rFonts w:ascii="Calibri" w:hAnsi="Calibri" w:cs="Calibri"/>
          <w:szCs w:val="20"/>
          <w:lang w:val="cs-CZ"/>
        </w:rPr>
        <w:t>Kontakt pro média:</w:t>
      </w:r>
    </w:p>
    <w:p w14:paraId="646B3CD5" w14:textId="77777777" w:rsidR="007223BD" w:rsidRPr="00433B62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433B62">
        <w:rPr>
          <w:rFonts w:ascii="Calibri" w:hAnsi="Calibri" w:cs="Calibri"/>
          <w:sz w:val="20"/>
          <w:szCs w:val="20"/>
          <w:lang w:val="cs-CZ"/>
        </w:rPr>
        <w:tab/>
      </w:r>
      <w:r w:rsidRPr="00433B62">
        <w:rPr>
          <w:rFonts w:ascii="Calibri" w:hAnsi="Calibri" w:cs="Calibri"/>
          <w:sz w:val="20"/>
          <w:szCs w:val="20"/>
          <w:lang w:val="cs-CZ"/>
        </w:rPr>
        <w:tab/>
      </w:r>
    </w:p>
    <w:p w14:paraId="0109A4C7" w14:textId="1F85CA71" w:rsidR="007223BD" w:rsidRPr="00433B62" w:rsidRDefault="007223BD" w:rsidP="007223BD">
      <w:pPr>
        <w:pStyle w:val="Bodytext9pt"/>
        <w:tabs>
          <w:tab w:val="left" w:pos="2700"/>
          <w:tab w:val="left" w:pos="5400"/>
        </w:tabs>
        <w:rPr>
          <w:rFonts w:ascii="Calibri" w:hAnsi="Calibri" w:cs="Calibri"/>
          <w:sz w:val="20"/>
          <w:szCs w:val="20"/>
          <w:lang w:val="cs-CZ"/>
        </w:rPr>
      </w:pPr>
      <w:r w:rsidRPr="00433B62">
        <w:rPr>
          <w:rFonts w:ascii="Calibri" w:hAnsi="Calibri" w:cs="Calibri"/>
          <w:sz w:val="20"/>
          <w:szCs w:val="20"/>
          <w:lang w:val="cs-CZ"/>
        </w:rPr>
        <w:t>Dominik Ježek</w:t>
      </w:r>
      <w:r w:rsidRPr="00433B62">
        <w:rPr>
          <w:rFonts w:ascii="Calibri" w:hAnsi="Calibri" w:cs="Calibri"/>
          <w:sz w:val="20"/>
          <w:szCs w:val="20"/>
          <w:lang w:val="cs-CZ"/>
        </w:rPr>
        <w:tab/>
        <w:t>+420-724-652-308</w:t>
      </w:r>
      <w:r w:rsidRPr="00433B62">
        <w:rPr>
          <w:rFonts w:ascii="Calibri" w:hAnsi="Calibri" w:cs="Calibri"/>
          <w:sz w:val="20"/>
          <w:szCs w:val="20"/>
          <w:lang w:val="cs-CZ"/>
        </w:rPr>
        <w:tab/>
      </w:r>
      <w:hyperlink r:id="rId8" w:history="1">
        <w:r w:rsidR="004C5F66" w:rsidRPr="00433B62">
          <w:rPr>
            <w:rStyle w:val="Hyperlink"/>
            <w:rFonts w:ascii="Calibri" w:hAnsi="Calibri" w:cs="Calibri"/>
            <w:sz w:val="20"/>
            <w:szCs w:val="20"/>
            <w:lang w:val="cs-CZ"/>
          </w:rPr>
          <w:t>dominik.jezek@havaspr.com</w:t>
        </w:r>
      </w:hyperlink>
    </w:p>
    <w:p w14:paraId="569DE19F" w14:textId="77777777" w:rsidR="0015409F" w:rsidRPr="00ED1B81" w:rsidRDefault="0015409F" w:rsidP="00ED1B81">
      <w:pPr>
        <w:pStyle w:val="BodyText1"/>
        <w:rPr>
          <w:rFonts w:eastAsia="SimSun" w:cs="Arial"/>
          <w:sz w:val="18"/>
          <w:szCs w:val="18"/>
          <w:lang w:val="cs-CZ" w:eastAsia="zh-CN"/>
        </w:rPr>
      </w:pPr>
    </w:p>
    <w:p w14:paraId="46B385A6" w14:textId="77777777" w:rsidR="00ED1B81" w:rsidRPr="00ED1B81" w:rsidRDefault="00ED1B81" w:rsidP="00ED1B81">
      <w:pPr>
        <w:pStyle w:val="BodyText1"/>
        <w:rPr>
          <w:rFonts w:eastAsia="SimSun" w:cs="Arial"/>
          <w:b/>
          <w:bCs/>
          <w:sz w:val="18"/>
          <w:szCs w:val="18"/>
          <w:lang w:val="cs-CZ" w:eastAsia="zh-CN"/>
        </w:rPr>
      </w:pPr>
      <w:r w:rsidRPr="00ED1B81">
        <w:rPr>
          <w:rFonts w:eastAsia="SimSun" w:cs="Arial"/>
          <w:b/>
          <w:bCs/>
          <w:sz w:val="18"/>
          <w:szCs w:val="18"/>
          <w:lang w:val="cs-CZ" w:eastAsia="zh-CN"/>
        </w:rPr>
        <w:t xml:space="preserve">HSBC Navigator: </w:t>
      </w:r>
    </w:p>
    <w:p w14:paraId="1C08A799" w14:textId="51FD5715" w:rsidR="00ED1B81" w:rsidRPr="00ED1B81" w:rsidRDefault="00ED1B81" w:rsidP="00ED1B81">
      <w:pPr>
        <w:pStyle w:val="BodyText1"/>
        <w:rPr>
          <w:rFonts w:eastAsia="SimSun" w:cs="Arial"/>
          <w:sz w:val="18"/>
          <w:szCs w:val="18"/>
          <w:lang w:val="cs-CZ" w:eastAsia="zh-CN"/>
        </w:rPr>
      </w:pPr>
      <w:r w:rsidRPr="00ED1B81">
        <w:rPr>
          <w:rFonts w:eastAsia="SimSun" w:cs="Arial"/>
          <w:sz w:val="18"/>
          <w:szCs w:val="18"/>
          <w:lang w:val="cs-CZ" w:eastAsia="zh-CN"/>
        </w:rPr>
        <w:t xml:space="preserve">Průzkum Navigator </w:t>
      </w:r>
      <w:r>
        <w:rPr>
          <w:rFonts w:eastAsia="SimSun" w:cs="Arial"/>
          <w:sz w:val="18"/>
          <w:szCs w:val="18"/>
          <w:lang w:val="cs-CZ" w:eastAsia="zh-CN"/>
        </w:rPr>
        <w:t>provedla pro</w:t>
      </w:r>
      <w:r w:rsidRPr="00ED1B81">
        <w:rPr>
          <w:rFonts w:eastAsia="SimSun" w:cs="Arial"/>
          <w:sz w:val="18"/>
          <w:szCs w:val="18"/>
          <w:lang w:val="cs-CZ" w:eastAsia="zh-CN"/>
        </w:rPr>
        <w:t xml:space="preserve"> HSBC společnost Kantar. Tento průzkum mezi více než 10 000 podniky zahrnuje 39 zemí, trhů a teritorií. Proběhl mezi 11. zářím a 7. říjnem 2020</w:t>
      </w:r>
      <w:r>
        <w:rPr>
          <w:rFonts w:eastAsia="SimSun" w:cs="Arial"/>
          <w:sz w:val="18"/>
          <w:szCs w:val="18"/>
          <w:lang w:val="cs-CZ" w:eastAsia="zh-CN"/>
        </w:rPr>
        <w:t xml:space="preserve"> na těchto trzích: </w:t>
      </w:r>
      <w:r w:rsidRPr="00ED1B81">
        <w:rPr>
          <w:rFonts w:eastAsia="SimSun" w:cs="Arial"/>
          <w:b/>
          <w:bCs/>
          <w:sz w:val="18"/>
          <w:szCs w:val="18"/>
          <w:lang w:val="cs-CZ" w:eastAsia="zh-CN"/>
        </w:rPr>
        <w:t>Evropa:</w:t>
      </w:r>
      <w:r w:rsidRPr="00ED1B81">
        <w:rPr>
          <w:rFonts w:eastAsia="SimSun" w:cs="Arial"/>
          <w:sz w:val="18"/>
          <w:szCs w:val="18"/>
          <w:lang w:val="cs-CZ" w:eastAsia="zh-CN"/>
        </w:rPr>
        <w:t xml:space="preserve"> Belgie, Francie, Německo, Řecko, Irsko, Itálie, Nizozemsko, Polsko, Rusko, Španělsko, Švédsko, Švýcarsko, Velká Británie. </w:t>
      </w:r>
      <w:r w:rsidRPr="00ED1B81">
        <w:rPr>
          <w:rFonts w:eastAsia="SimSun" w:cs="Arial"/>
          <w:b/>
          <w:bCs/>
          <w:sz w:val="18"/>
          <w:szCs w:val="18"/>
          <w:lang w:val="cs-CZ" w:eastAsia="zh-CN"/>
        </w:rPr>
        <w:t>Asijsko-pacifická oblast:</w:t>
      </w:r>
      <w:r w:rsidRPr="00ED1B81">
        <w:rPr>
          <w:rFonts w:eastAsia="SimSun" w:cs="Arial"/>
          <w:sz w:val="18"/>
          <w:szCs w:val="18"/>
          <w:lang w:val="cs-CZ" w:eastAsia="zh-CN"/>
        </w:rPr>
        <w:t xml:space="preserve"> Austrálie, Bangladéš, pevninská Čína, Hongkong, Indie, Indonésie, Japonsko, Malajsie, Nový Zéland, Filipíny, Singapur, Jižní Korea, Srí Lanka, Tchaj-wan, Thajsko, Vietnam. </w:t>
      </w:r>
      <w:r w:rsidRPr="00ED1B81">
        <w:rPr>
          <w:rFonts w:eastAsia="SimSun" w:cs="Arial"/>
          <w:b/>
          <w:bCs/>
          <w:sz w:val="18"/>
          <w:szCs w:val="18"/>
          <w:lang w:val="cs-CZ" w:eastAsia="zh-CN"/>
        </w:rPr>
        <w:t>Střední východ a severní Afrika:</w:t>
      </w:r>
      <w:r w:rsidRPr="00ED1B81">
        <w:rPr>
          <w:rFonts w:eastAsia="SimSun" w:cs="Arial"/>
          <w:sz w:val="18"/>
          <w:szCs w:val="18"/>
          <w:lang w:val="cs-CZ" w:eastAsia="zh-CN"/>
        </w:rPr>
        <w:t xml:space="preserve"> Egypt, Saúdská Arábie, Turecko, Spojené arabské emiráty. </w:t>
      </w:r>
      <w:r w:rsidRPr="00ED1B81">
        <w:rPr>
          <w:rFonts w:eastAsia="SimSun" w:cs="Arial"/>
          <w:b/>
          <w:bCs/>
          <w:sz w:val="18"/>
          <w:szCs w:val="18"/>
          <w:lang w:val="cs-CZ" w:eastAsia="zh-CN"/>
        </w:rPr>
        <w:t>Severní Amerika:</w:t>
      </w:r>
      <w:r w:rsidRPr="00ED1B81">
        <w:rPr>
          <w:rFonts w:eastAsia="SimSun" w:cs="Arial"/>
          <w:sz w:val="18"/>
          <w:szCs w:val="18"/>
          <w:lang w:val="cs-CZ" w:eastAsia="zh-CN"/>
        </w:rPr>
        <w:t xml:space="preserve"> Kanada, Mexiko, USA. Jižní Amerika: Argentina, Brazílie. </w:t>
      </w:r>
      <w:r w:rsidRPr="00ED1B81">
        <w:rPr>
          <w:rFonts w:eastAsia="SimSun" w:cs="Arial"/>
          <w:b/>
          <w:bCs/>
          <w:sz w:val="18"/>
          <w:szCs w:val="18"/>
          <w:lang w:val="cs-CZ" w:eastAsia="zh-CN"/>
        </w:rPr>
        <w:t>Zbytek Afriky:</w:t>
      </w:r>
      <w:r w:rsidRPr="00ED1B81">
        <w:rPr>
          <w:rFonts w:eastAsia="SimSun" w:cs="Arial"/>
          <w:sz w:val="18"/>
          <w:szCs w:val="18"/>
          <w:lang w:val="cs-CZ" w:eastAsia="zh-CN"/>
        </w:rPr>
        <w:t xml:space="preserve"> Jižní Afrika.</w:t>
      </w:r>
    </w:p>
    <w:p w14:paraId="60F70FE5" w14:textId="4470348D" w:rsidR="00ED1B81" w:rsidRPr="00ED1B81" w:rsidRDefault="00ED1B81" w:rsidP="00ED1B81">
      <w:pPr>
        <w:pStyle w:val="BodyText1"/>
        <w:rPr>
          <w:rFonts w:eastAsia="SimSun" w:cs="Arial"/>
          <w:sz w:val="18"/>
          <w:szCs w:val="18"/>
          <w:lang w:val="cs-CZ" w:eastAsia="zh-CN"/>
        </w:rPr>
      </w:pPr>
      <w:r w:rsidRPr="00ED1B81">
        <w:rPr>
          <w:rFonts w:eastAsia="SimSun" w:cs="Arial"/>
          <w:sz w:val="18"/>
          <w:szCs w:val="18"/>
          <w:lang w:val="cs-CZ" w:eastAsia="zh-CN"/>
        </w:rPr>
        <w:t>Další informace naleznete na adrese:</w:t>
      </w:r>
      <w:r>
        <w:rPr>
          <w:rFonts w:eastAsia="SimSun" w:cs="Arial"/>
          <w:sz w:val="18"/>
          <w:szCs w:val="18"/>
          <w:lang w:val="cs-CZ" w:eastAsia="zh-CN"/>
        </w:rPr>
        <w:t xml:space="preserve"> </w:t>
      </w:r>
      <w:hyperlink r:id="rId9" w:history="1">
        <w:r w:rsidRPr="00ED1B81">
          <w:rPr>
            <w:rStyle w:val="Hyperlink"/>
            <w:rFonts w:eastAsia="SimSun" w:cs="Arial"/>
            <w:sz w:val="18"/>
            <w:szCs w:val="18"/>
            <w:lang w:val="cs-CZ" w:eastAsia="zh-CN"/>
          </w:rPr>
          <w:t>https://www.business.hsbc.com/navigator</w:t>
        </w:r>
      </w:hyperlink>
    </w:p>
    <w:p w14:paraId="2DC2BC10" w14:textId="77777777" w:rsidR="00ED1B81" w:rsidRPr="00ED1B81" w:rsidRDefault="00ED1B81" w:rsidP="00ED1B81">
      <w:pPr>
        <w:pStyle w:val="BodyText1"/>
        <w:rPr>
          <w:rFonts w:eastAsia="SimSun" w:cs="Arial"/>
          <w:sz w:val="18"/>
          <w:szCs w:val="18"/>
          <w:lang w:val="cs-CZ" w:eastAsia="zh-CN"/>
        </w:rPr>
      </w:pPr>
    </w:p>
    <w:p w14:paraId="22B574BA" w14:textId="77777777" w:rsidR="00ED1B81" w:rsidRPr="00ED1B81" w:rsidRDefault="00ED1B81" w:rsidP="00ED1B81">
      <w:pPr>
        <w:pStyle w:val="BodyText1"/>
        <w:rPr>
          <w:rFonts w:eastAsia="SimSun" w:cs="Arial"/>
          <w:b/>
          <w:bCs/>
          <w:sz w:val="18"/>
          <w:szCs w:val="18"/>
          <w:lang w:val="cs-CZ" w:eastAsia="zh-CN"/>
        </w:rPr>
      </w:pPr>
      <w:r w:rsidRPr="00ED1B81">
        <w:rPr>
          <w:rFonts w:eastAsia="SimSun" w:cs="Arial"/>
          <w:b/>
          <w:bCs/>
          <w:sz w:val="18"/>
          <w:szCs w:val="18"/>
          <w:lang w:val="cs-CZ" w:eastAsia="zh-CN"/>
        </w:rPr>
        <w:t>HSBC Commercial Banking</w:t>
      </w:r>
    </w:p>
    <w:p w14:paraId="1EE579FB" w14:textId="197712D8" w:rsidR="00ED1B81" w:rsidRDefault="00ED1B81" w:rsidP="00ED1B81">
      <w:pPr>
        <w:pStyle w:val="BodyText1"/>
        <w:rPr>
          <w:rFonts w:eastAsia="SimSun" w:cs="Arial"/>
          <w:sz w:val="18"/>
          <w:szCs w:val="18"/>
          <w:lang w:val="cs-CZ" w:eastAsia="zh-CN"/>
        </w:rPr>
      </w:pPr>
      <w:r w:rsidRPr="00ED1B81">
        <w:rPr>
          <w:rFonts w:eastAsia="SimSun" w:cs="Arial"/>
          <w:sz w:val="18"/>
          <w:szCs w:val="18"/>
          <w:lang w:val="cs-CZ" w:eastAsia="zh-CN"/>
        </w:rPr>
        <w:t xml:space="preserve">Již více než 150 let jsme tam, kde je růst, a spojujeme zákazníky s příležitostmi. HSBC </w:t>
      </w:r>
      <w:r>
        <w:rPr>
          <w:rFonts w:eastAsia="SimSun" w:cs="Arial"/>
          <w:sz w:val="18"/>
          <w:szCs w:val="18"/>
          <w:lang w:val="cs-CZ" w:eastAsia="zh-CN"/>
        </w:rPr>
        <w:t xml:space="preserve">Commercial Banking </w:t>
      </w:r>
      <w:r w:rsidRPr="00ED1B81">
        <w:rPr>
          <w:rFonts w:eastAsia="SimSun" w:cs="Arial"/>
          <w:sz w:val="18"/>
          <w:szCs w:val="18"/>
          <w:lang w:val="cs-CZ" w:eastAsia="zh-CN"/>
        </w:rPr>
        <w:t xml:space="preserve">dnes </w:t>
      </w:r>
      <w:r>
        <w:rPr>
          <w:rFonts w:eastAsia="SimSun" w:cs="Arial"/>
          <w:sz w:val="18"/>
          <w:szCs w:val="18"/>
          <w:lang w:val="cs-CZ" w:eastAsia="zh-CN"/>
        </w:rPr>
        <w:t>poskytuje své služby</w:t>
      </w:r>
      <w:r w:rsidRPr="00ED1B81">
        <w:rPr>
          <w:rFonts w:eastAsia="SimSun" w:cs="Arial"/>
          <w:sz w:val="18"/>
          <w:szCs w:val="18"/>
          <w:lang w:val="cs-CZ" w:eastAsia="zh-CN"/>
        </w:rPr>
        <w:t xml:space="preserve"> 1,4 milionu zákazníků na 53 trzích, od malých podniků zaměřených především na jejich domácí trhy až po </w:t>
      </w:r>
      <w:r>
        <w:rPr>
          <w:rFonts w:eastAsia="SimSun" w:cs="Arial"/>
          <w:sz w:val="18"/>
          <w:szCs w:val="18"/>
          <w:lang w:val="cs-CZ" w:eastAsia="zh-CN"/>
        </w:rPr>
        <w:t xml:space="preserve">mezinárodní </w:t>
      </w:r>
      <w:r w:rsidRPr="00ED1B81">
        <w:rPr>
          <w:rFonts w:eastAsia="SimSun" w:cs="Arial"/>
          <w:sz w:val="18"/>
          <w:szCs w:val="18"/>
          <w:lang w:val="cs-CZ" w:eastAsia="zh-CN"/>
        </w:rPr>
        <w:t xml:space="preserve">podniky. Ať už se jedná o provozní kapitál, termínované půjčky, financování obchodu nebo platby a správu hotovosti, </w:t>
      </w:r>
      <w:r>
        <w:rPr>
          <w:rFonts w:eastAsia="SimSun" w:cs="Arial"/>
          <w:sz w:val="18"/>
          <w:szCs w:val="18"/>
          <w:lang w:val="cs-CZ" w:eastAsia="zh-CN"/>
        </w:rPr>
        <w:t xml:space="preserve">HSBC Commercial Banking </w:t>
      </w:r>
      <w:r w:rsidRPr="00ED1B81">
        <w:rPr>
          <w:rFonts w:eastAsia="SimSun" w:cs="Arial"/>
          <w:sz w:val="18"/>
          <w:szCs w:val="18"/>
          <w:lang w:val="cs-CZ" w:eastAsia="zh-CN"/>
        </w:rPr>
        <w:t>poskytuje nástroje a odborné znalosti, které podniky potřebují</w:t>
      </w:r>
      <w:r>
        <w:rPr>
          <w:rFonts w:eastAsia="SimSun" w:cs="Arial"/>
          <w:sz w:val="18"/>
          <w:szCs w:val="18"/>
          <w:lang w:val="cs-CZ" w:eastAsia="zh-CN"/>
        </w:rPr>
        <w:t xml:space="preserve"> v cestě za úspěchem</w:t>
      </w:r>
      <w:r w:rsidRPr="00ED1B81">
        <w:rPr>
          <w:rFonts w:eastAsia="SimSun" w:cs="Arial"/>
          <w:sz w:val="18"/>
          <w:szCs w:val="18"/>
          <w:lang w:val="cs-CZ" w:eastAsia="zh-CN"/>
        </w:rPr>
        <w:t xml:space="preserve">. Jako základní kámen skupiny HSBC </w:t>
      </w:r>
      <w:r>
        <w:rPr>
          <w:rFonts w:eastAsia="SimSun" w:cs="Arial"/>
          <w:sz w:val="18"/>
          <w:szCs w:val="18"/>
          <w:lang w:val="cs-CZ" w:eastAsia="zh-CN"/>
        </w:rPr>
        <w:t>zpřístupňuje</w:t>
      </w:r>
      <w:r w:rsidRPr="00ED1B81">
        <w:rPr>
          <w:rFonts w:eastAsia="SimSun" w:cs="Arial"/>
          <w:sz w:val="18"/>
          <w:szCs w:val="18"/>
          <w:lang w:val="cs-CZ" w:eastAsia="zh-CN"/>
        </w:rPr>
        <w:t xml:space="preserve"> podnikům </w:t>
      </w:r>
      <w:r>
        <w:rPr>
          <w:rFonts w:eastAsia="SimSun" w:cs="Arial"/>
          <w:sz w:val="18"/>
          <w:szCs w:val="18"/>
          <w:lang w:val="cs-CZ" w:eastAsia="zh-CN"/>
        </w:rPr>
        <w:t>svou širokou mezinárodní síť</w:t>
      </w:r>
      <w:r w:rsidRPr="00ED1B81">
        <w:rPr>
          <w:rFonts w:eastAsia="SimSun" w:cs="Arial"/>
          <w:sz w:val="18"/>
          <w:szCs w:val="18"/>
          <w:lang w:val="cs-CZ" w:eastAsia="zh-CN"/>
        </w:rPr>
        <w:t xml:space="preserve"> pokrývající více než 90</w:t>
      </w:r>
      <w:r>
        <w:rPr>
          <w:rFonts w:eastAsia="SimSun" w:cs="Arial"/>
          <w:sz w:val="18"/>
          <w:szCs w:val="18"/>
          <w:lang w:val="cs-CZ" w:eastAsia="zh-CN"/>
        </w:rPr>
        <w:t> </w:t>
      </w:r>
      <w:r w:rsidRPr="00ED1B81">
        <w:rPr>
          <w:rFonts w:eastAsia="SimSun" w:cs="Arial"/>
          <w:sz w:val="18"/>
          <w:szCs w:val="18"/>
          <w:lang w:val="cs-CZ" w:eastAsia="zh-CN"/>
        </w:rPr>
        <w:t xml:space="preserve">% globálního obchodu a kapitálových toků. Další informace naleznete na adrese: </w:t>
      </w:r>
      <w:hyperlink r:id="rId10" w:history="1">
        <w:r w:rsidRPr="005F51D6">
          <w:rPr>
            <w:rStyle w:val="Hyperlink"/>
            <w:rFonts w:eastAsia="SimSun" w:cs="Arial"/>
            <w:sz w:val="18"/>
            <w:szCs w:val="18"/>
            <w:lang w:val="cs-CZ" w:eastAsia="zh-CN"/>
          </w:rPr>
          <w:t>https://www.hsbc.com/who-we-are/our-businesses-and-customers/commercial-banking</w:t>
        </w:r>
      </w:hyperlink>
    </w:p>
    <w:p w14:paraId="493BA7E2" w14:textId="77777777" w:rsidR="00B32E93" w:rsidRDefault="00B32E93" w:rsidP="00B32E93">
      <w:pPr>
        <w:rPr>
          <w:rFonts w:ascii="Arial" w:eastAsia="SimSun" w:hAnsi="Arial" w:cs="Arial"/>
          <w:b/>
          <w:bCs/>
          <w:sz w:val="18"/>
          <w:szCs w:val="18"/>
        </w:rPr>
      </w:pPr>
    </w:p>
    <w:p w14:paraId="4441E399" w14:textId="5AECCB2F" w:rsidR="00E73FBC" w:rsidRPr="00433B62" w:rsidRDefault="00E73FBC" w:rsidP="00B32E93">
      <w:pPr>
        <w:rPr>
          <w:rFonts w:ascii="Arial" w:eastAsia="SimSun" w:hAnsi="Arial" w:cs="Arial"/>
          <w:b/>
          <w:bCs/>
          <w:sz w:val="18"/>
          <w:szCs w:val="18"/>
        </w:rPr>
      </w:pPr>
      <w:r w:rsidRPr="00433B62">
        <w:rPr>
          <w:rFonts w:ascii="Arial" w:eastAsia="SimSun" w:hAnsi="Arial" w:cs="Arial"/>
          <w:b/>
          <w:bCs/>
          <w:sz w:val="18"/>
          <w:szCs w:val="18"/>
        </w:rPr>
        <w:t>HSBC Holdings plc</w:t>
      </w:r>
    </w:p>
    <w:p w14:paraId="2EC54CE2" w14:textId="5FBE2368" w:rsidR="00E73FBC" w:rsidRPr="00433B62" w:rsidRDefault="00E73FBC" w:rsidP="00E73FBC">
      <w:pPr>
        <w:pStyle w:val="BodyText1"/>
        <w:rPr>
          <w:rFonts w:cs="Arial"/>
          <w:b/>
          <w:lang w:val="cs-CZ"/>
        </w:rPr>
      </w:pPr>
      <w:r w:rsidRPr="00433B62">
        <w:rPr>
          <w:rFonts w:eastAsia="SimSun" w:cs="Arial"/>
          <w:sz w:val="18"/>
          <w:szCs w:val="18"/>
          <w:lang w:val="cs-CZ" w:eastAsia="zh-CN"/>
        </w:rPr>
        <w:t>HSBC Holdings plc, mateřská společnost skupiny HSBC, má sídlo v Londýně. HSBC poskytuje své služby zákazníkům po celém světě s pobočkami v 64 zemích a teritoriích v těchto oblastech: Evropa, Asie, Severní Amerika, Latinská Amerika, Blízký východ a severní Afrika. S aktivy ve výši 2,923 miliardy USD k 30.</w:t>
      </w:r>
      <w:r w:rsidR="00303EB3">
        <w:rPr>
          <w:rFonts w:eastAsia="SimSun" w:cs="Arial"/>
          <w:sz w:val="18"/>
          <w:szCs w:val="18"/>
          <w:lang w:val="cs-CZ" w:eastAsia="zh-CN"/>
        </w:rPr>
        <w:t> </w:t>
      </w:r>
      <w:r w:rsidRPr="00433B62">
        <w:rPr>
          <w:rFonts w:eastAsia="SimSun" w:cs="Arial"/>
          <w:sz w:val="18"/>
          <w:szCs w:val="18"/>
          <w:lang w:val="cs-CZ" w:eastAsia="zh-CN"/>
        </w:rPr>
        <w:t>červnu 2020 je HSBC jednou z největších světových organizací poskytujících bankovní a finanční služby.</w:t>
      </w:r>
    </w:p>
    <w:p w14:paraId="62234DF2" w14:textId="77777777" w:rsidR="00E73FBC" w:rsidRPr="00433B62" w:rsidRDefault="00E73FBC" w:rsidP="00E73FBC">
      <w:pPr>
        <w:pStyle w:val="BodyText1"/>
        <w:rPr>
          <w:rFonts w:cs="Arial"/>
          <w:b/>
          <w:lang w:val="cs-CZ"/>
        </w:rPr>
      </w:pPr>
    </w:p>
    <w:p w14:paraId="5C26E3CB" w14:textId="2E2B0A96" w:rsidR="00AB4FE4" w:rsidRPr="00433B62" w:rsidRDefault="00AB4FE4" w:rsidP="00E73FBC">
      <w:pPr>
        <w:pStyle w:val="Default"/>
        <w:rPr>
          <w:color w:val="auto"/>
          <w:sz w:val="18"/>
          <w:szCs w:val="18"/>
          <w:lang w:val="cs-CZ"/>
        </w:rPr>
      </w:pPr>
    </w:p>
    <w:sectPr w:rsidR="00AB4FE4" w:rsidRPr="00433B62" w:rsidSect="00466421">
      <w:head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0" w:right="2096" w:bottom="1936" w:left="1530" w:header="720" w:footer="12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4F9F8" w14:textId="77777777" w:rsidR="001737FD" w:rsidRDefault="001737FD">
      <w:r>
        <w:separator/>
      </w:r>
    </w:p>
  </w:endnote>
  <w:endnote w:type="continuationSeparator" w:id="0">
    <w:p w14:paraId="285B4E36" w14:textId="77777777" w:rsidR="001737FD" w:rsidRDefault="00173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LT Std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Next for HSBC Light">
    <w:altName w:val="Calibri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Next for HSBC Regular">
    <w:altName w:val="Calibri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CD34A6" w14:textId="77777777" w:rsidR="00045A78" w:rsidRDefault="00045A78">
    <w:pPr>
      <w:pStyle w:val="Footer"/>
      <w:rPr>
        <w:i/>
        <w:sz w:val="16"/>
      </w:rPr>
    </w:pPr>
    <w:r>
      <w:rPr>
        <w:sz w:val="16"/>
      </w:rPr>
      <w:tab/>
    </w:r>
    <w:r>
      <w:rPr>
        <w:sz w:val="16"/>
      </w:rPr>
      <w:tab/>
    </w:r>
  </w:p>
  <w:p w14:paraId="5169C87A" w14:textId="77777777" w:rsidR="00045A78" w:rsidRDefault="00045A78">
    <w:pPr>
      <w:pStyle w:val="Footer"/>
      <w:rPr>
        <w:b/>
        <w:sz w:val="24"/>
      </w:rPr>
    </w:pPr>
    <w:r>
      <w:rPr>
        <w:b/>
        <w:sz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E3365" w14:textId="77777777" w:rsidR="00045A78" w:rsidRDefault="00B90CB3" w:rsidP="00466421">
    <w:pPr>
      <w:pStyle w:val="Footer"/>
      <w:tabs>
        <w:tab w:val="clear" w:pos="4153"/>
        <w:tab w:val="clear" w:pos="8306"/>
        <w:tab w:val="left" w:pos="3312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900427" wp14:editId="4FFC0543">
              <wp:simplePos x="0" y="0"/>
              <wp:positionH relativeFrom="column">
                <wp:posOffset>2737485</wp:posOffset>
              </wp:positionH>
              <wp:positionV relativeFrom="paragraph">
                <wp:posOffset>-146050</wp:posOffset>
              </wp:positionV>
              <wp:extent cx="2976245" cy="12395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976245" cy="1239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3469C" w14:textId="77777777" w:rsidR="00466421" w:rsidRDefault="006556D4" w:rsidP="006556D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HSBC FRANCE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t>jednající prostřednictvím</w:t>
                          </w: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 HSBC </w:t>
                          </w:r>
                          <w:r w:rsidR="00466421" w:rsidRPr="00D836CD">
                            <w:rPr>
                              <w:b/>
                              <w:sz w:val="14"/>
                              <w:szCs w:val="14"/>
                            </w:rPr>
                            <w:t>France – pobočka</w:t>
                          </w:r>
                          <w:r w:rsidRPr="00D836CD">
                            <w:rPr>
                              <w:b/>
                              <w:sz w:val="14"/>
                              <w:szCs w:val="14"/>
                            </w:rPr>
                            <w:t xml:space="preserve"> Praha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br/>
                            <w:t xml:space="preserve">Na Florenci 2116/15, Nové Město, 110 </w:t>
                          </w:r>
                          <w:r w:rsidR="00466421" w:rsidRPr="00D836CD">
                            <w:rPr>
                              <w:sz w:val="14"/>
                              <w:szCs w:val="14"/>
                            </w:rPr>
                            <w:t>00 Praha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t xml:space="preserve"> 1, Česká republika, </w:t>
                          </w:r>
                        </w:p>
                        <w:p w14:paraId="0538C4D7" w14:textId="61775634" w:rsidR="006556D4" w:rsidRPr="00D836CD" w:rsidRDefault="006556D4" w:rsidP="006556D4">
                          <w:pPr>
                            <w:rPr>
                              <w:sz w:val="14"/>
                              <w:szCs w:val="14"/>
                            </w:rPr>
                          </w:pPr>
                          <w:r w:rsidRPr="00D836CD">
                            <w:rPr>
                              <w:sz w:val="14"/>
                              <w:szCs w:val="14"/>
                            </w:rPr>
                            <w:t xml:space="preserve">IČ: 07482728 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br/>
                            <w:t xml:space="preserve">Tel.: (+420) 225 024 555, </w:t>
                          </w:r>
                          <w:r w:rsidR="00FC04A8">
                            <w:rPr>
                              <w:sz w:val="14"/>
                              <w:szCs w:val="14"/>
                            </w:rPr>
                            <w:t>f</w:t>
                          </w:r>
                          <w:r w:rsidRPr="00D836CD">
                            <w:rPr>
                              <w:sz w:val="14"/>
                              <w:szCs w:val="14"/>
                            </w:rPr>
                            <w:t>ax: (+420) 225 024 550, www.hsbc.cz</w:t>
                          </w:r>
                        </w:p>
                        <w:p w14:paraId="6DE415D7" w14:textId="3A32E9A0" w:rsidR="00045A78" w:rsidRPr="00466421" w:rsidRDefault="006556D4" w:rsidP="00466421">
                          <w:pPr>
                            <w:pStyle w:val="Footer"/>
                            <w:rPr>
                              <w:rFonts w:ascii="Univers Next for HSBC Regular" w:hAnsi="Univers Next for HSBC Regular" w:cs="Arial"/>
                            </w:rPr>
                          </w:pP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HSBC </w:t>
                          </w:r>
                          <w:r w:rsidR="00466421"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France – pobočka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 Praha zapsaná v obchodním rejstříku vedeném Městským soudem v Praze, oddíl A, vložka 78901, jako pobočka 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br/>
                            <w:t>HSBC FRANCE (registrační číslo 775 670</w:t>
                          </w:r>
                          <w:r w:rsidRPr="00A133D4">
                            <w:rPr>
                              <w:rFonts w:ascii="Univers Next for HSBC Regular" w:eastAsia="MS Mincho" w:hAnsi="Univers Next for HSBC Regular" w:cs="Arial"/>
                              <w:i/>
                              <w:color w:val="000000"/>
                              <w:sz w:val="14"/>
                              <w:szCs w:val="14"/>
                            </w:rPr>
                            <w:t xml:space="preserve"> 284 RCS Paris),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 xml:space="preserve"> se sídlem 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103, avenue des Champs-</w:t>
                          </w:r>
                          <w:r w:rsidR="00FC04A8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É</w:t>
                          </w:r>
                          <w:r w:rsidRPr="00A133D4">
                            <w:rPr>
                              <w:rFonts w:ascii="Univers Next for HSBC Regular" w:hAnsi="Univers Next for HSBC Regular" w:cs="Arial"/>
                              <w:i/>
                              <w:sz w:val="14"/>
                              <w:szCs w:val="14"/>
                            </w:rPr>
                            <w:t>lysées, 75008 Paříž, Francie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="http://schemas.microsoft.com/office/word/2018/wordml" xmlns:w16cex="http://schemas.microsoft.com/office/word/2018/wordml/cex">
          <w:pict w14:anchorId="3BD0A91B">
            <v:shapetype id="_x0000_t202" coordsize="21600,21600" o:spt="202" path="m,l,21600r21600,l21600,xe" w14:anchorId="20900427">
              <v:stroke joinstyle="miter"/>
              <v:path gradientshapeok="t" o:connecttype="rect"/>
            </v:shapetype>
            <v:shape id="Text Box 2" style="position:absolute;margin-left:215.55pt;margin-top:-11.5pt;width:234.35pt;height:9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8Q6AEAALcDAAAOAAAAZHJzL2Uyb0RvYy54bWysU8tu2zAQvBfoPxC817IUO6kFy0HbIEWB&#10;9AEk+QCKoiyiIpdd0pbcr++Ssl23uRW9EOTucjgzu1zfjqZne4Veg614PptzpqyERtttxZ+f7t+8&#10;5cwHYRvRg1UVPyjPbzevX60HV6oCOugbhYxArC8HV/EuBFdmmZedMsLPwClLyRbQiEBH3GYNioHQ&#10;TZ8V8/l1NgA2DkEq7yl6NyX5JuG3rZLha9t6FVhfceIW0oppreOabdai3KJwnZZHGuIfWBihLT16&#10;hroTQbAd6hdQRksED22YSTAZtK2WKmkgNfn8LzWPnXAqaSFzvDvb5P8frPyy/4ZMNxW/4swKQy16&#10;UmNg72FkRXRncL6kokdHZWGkMHU5KfXuAeR3TyXZRc10wcfqevgMDeGJXYB0Y2zRRI9INSMYasfh&#10;3IL4pqRgsbq5LhZLziTl8uJqtSxSkzJRnq479OGjAsPipuJIPU7wYv/gQ6QjylNJfM3Cve771Ofe&#10;/hGgwhhJ9CPjiXsY6zEZkp/k19AcSA/CND007bTpAH9yNtDkVNz/2AlUnPWfLLVmlS8WcdTSYbG8&#10;IQEMLzP1ZUZYSVAVD5xN2w9hGs+dQ73t6KXJbgvvyMdWJ4XR8InVkT5NRxJ+nOQ4fpfnVPX7v21+&#10;AQAA//8DAFBLAwQUAAYACAAAACEAwBlH7eQAAAAQAQAADwAAAGRycy9kb3ducmV2LnhtbEyPwU7D&#10;MBBE70j8g7VI3FonKYI2jVMhUAVCvRD6AW5skijx2ortJPD1LCe4rLTamdl5xWExA5v06DuLAtJ1&#10;AkxjbVWHjYDzx3G1BeaDRCUHi1rAl/ZwKK+vCpkrO+O7nqrQMApBn0sBbQgu59zXrTbSr63TSLdP&#10;OxoZaB0brkY5U7gZeJYk99zIDulDK51+anXdV9EIOMaXVzN98+jeqnrG1vXxfOqFuL1Znvc0HvfA&#10;gl7CnwN+Gag/lFTsYiMqzwYBd5s0JamAVbYhMlJsdzsiupD0IcuAlwX/D1L+AAAA//8DAFBLAQIt&#10;ABQABgAIAAAAIQC2gziS/gAAAOEBAAATAAAAAAAAAAAAAAAAAAAAAABbQ29udGVudF9UeXBlc10u&#10;eG1sUEsBAi0AFAAGAAgAAAAhADj9If/WAAAAlAEAAAsAAAAAAAAAAAAAAAAALwEAAF9yZWxzLy5y&#10;ZWxzUEsBAi0AFAAGAAgAAAAhAL/JrxDoAQAAtwMAAA4AAAAAAAAAAAAAAAAALgIAAGRycy9lMm9E&#10;b2MueG1sUEsBAi0AFAAGAAgAAAAhAMAZR+3kAAAAEAEAAA8AAAAAAAAAAAAAAAAAQgQAAGRycy9k&#10;b3ducmV2LnhtbFBLBQYAAAAABAAEAPMAAABTBQAAAAA=&#10;">
              <v:path arrowok="t"/>
              <v:textbox>
                <w:txbxContent>
                  <w:p w:rsidR="00466421" w:rsidP="006556D4" w:rsidRDefault="006556D4" w14:paraId="586FD232" w14:textId="77777777">
                    <w:pPr>
                      <w:rPr>
                        <w:sz w:val="14"/>
                        <w:szCs w:val="14"/>
                      </w:rPr>
                    </w:pPr>
                    <w:r w:rsidRPr="00D836CD">
                      <w:rPr>
                        <w:b/>
                        <w:sz w:val="14"/>
                        <w:szCs w:val="14"/>
                      </w:rPr>
                      <w:t xml:space="preserve">HSBC FRANCE </w:t>
                    </w:r>
                    <w:r w:rsidRPr="00D836CD">
                      <w:rPr>
                        <w:sz w:val="14"/>
                        <w:szCs w:val="14"/>
                      </w:rPr>
                      <w:t>jednající prostřednictvím</w:t>
                    </w:r>
                    <w:r w:rsidRPr="00D836CD">
                      <w:rPr>
                        <w:b/>
                        <w:sz w:val="14"/>
                        <w:szCs w:val="14"/>
                      </w:rPr>
                      <w:t xml:space="preserve"> HSBC </w:t>
                    </w:r>
                    <w:r w:rsidRPr="00D836CD" w:rsidR="00466421">
                      <w:rPr>
                        <w:b/>
                        <w:sz w:val="14"/>
                        <w:szCs w:val="14"/>
                      </w:rPr>
                      <w:t>France – pobočka</w:t>
                    </w:r>
                    <w:r w:rsidRPr="00D836CD">
                      <w:rPr>
                        <w:b/>
                        <w:sz w:val="14"/>
                        <w:szCs w:val="14"/>
                      </w:rPr>
                      <w:t xml:space="preserve"> Praha </w:t>
                    </w:r>
                    <w:r w:rsidRPr="00D836CD">
                      <w:rPr>
                        <w:sz w:val="14"/>
                        <w:szCs w:val="14"/>
                      </w:rPr>
                      <w:br/>
                    </w:r>
                    <w:r w:rsidRPr="00D836CD">
                      <w:rPr>
                        <w:sz w:val="14"/>
                        <w:szCs w:val="14"/>
                      </w:rPr>
                      <w:t xml:space="preserve">Na Florenci 2116/15, Nové Město, 110 </w:t>
                    </w:r>
                    <w:r w:rsidRPr="00D836CD" w:rsidR="00466421">
                      <w:rPr>
                        <w:sz w:val="14"/>
                        <w:szCs w:val="14"/>
                      </w:rPr>
                      <w:t>00 Praha</w:t>
                    </w:r>
                    <w:r w:rsidRPr="00D836CD">
                      <w:rPr>
                        <w:sz w:val="14"/>
                        <w:szCs w:val="14"/>
                      </w:rPr>
                      <w:t xml:space="preserve"> 1, Česká republika, </w:t>
                    </w:r>
                  </w:p>
                  <w:p w:rsidRPr="00D836CD" w:rsidR="006556D4" w:rsidP="006556D4" w:rsidRDefault="006556D4" w14:paraId="639F15E7" w14:textId="61775634">
                    <w:pPr>
                      <w:rPr>
                        <w:sz w:val="14"/>
                        <w:szCs w:val="14"/>
                      </w:rPr>
                    </w:pPr>
                    <w:r w:rsidRPr="00D836CD">
                      <w:rPr>
                        <w:sz w:val="14"/>
                        <w:szCs w:val="14"/>
                      </w:rPr>
                      <w:t xml:space="preserve">IČ: 07482728 </w:t>
                    </w:r>
                    <w:r w:rsidRPr="00D836CD">
                      <w:rPr>
                        <w:sz w:val="14"/>
                        <w:szCs w:val="14"/>
                      </w:rPr>
                      <w:br/>
                    </w:r>
                    <w:r w:rsidRPr="00D836CD">
                      <w:rPr>
                        <w:sz w:val="14"/>
                        <w:szCs w:val="14"/>
                      </w:rPr>
                      <w:t xml:space="preserve">Tel.: (+420) 225 024 555, </w:t>
                    </w:r>
                    <w:r w:rsidR="00FC04A8">
                      <w:rPr>
                        <w:sz w:val="14"/>
                        <w:szCs w:val="14"/>
                      </w:rPr>
                      <w:t>f</w:t>
                    </w:r>
                    <w:r w:rsidRPr="00D836CD">
                      <w:rPr>
                        <w:sz w:val="14"/>
                        <w:szCs w:val="14"/>
                      </w:rPr>
                      <w:t>ax: (+420) 225 024 550, www.hsbc.cz</w:t>
                    </w:r>
                  </w:p>
                  <w:p w:rsidRPr="00466421" w:rsidR="00045A78" w:rsidP="00466421" w:rsidRDefault="006556D4" w14:paraId="0143F5C6" w14:textId="3A32E9A0">
                    <w:pPr>
                      <w:pStyle w:val="Footer"/>
                      <w:rPr>
                        <w:rFonts w:ascii="Univers Next for HSBC Regular" w:hAnsi="Univers Next for HSBC Regular" w:cs="Arial"/>
                      </w:rPr>
                    </w:pP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HSBC </w:t>
                    </w:r>
                    <w:r w:rsidRPr="00A133D4" w:rsidR="00466421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France – pobočka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 Praha zapsaná v obchodním rejstříku vedeném Městským soudem v Praze, oddíl A, vložka 78901, jako pobočka 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br/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HSBC FRANCE (registrační číslo 775 670</w:t>
                    </w:r>
                    <w:r w:rsidRPr="00A133D4">
                      <w:rPr>
                        <w:rFonts w:ascii="Univers Next for HSBC Regular" w:hAnsi="Univers Next for HSBC Regular" w:eastAsia="MS Mincho" w:cs="Arial"/>
                        <w:i/>
                        <w:color w:val="000000"/>
                        <w:sz w:val="14"/>
                        <w:szCs w:val="14"/>
                      </w:rPr>
                      <w:t xml:space="preserve"> 284 RCS Paris),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 xml:space="preserve"> se sídlem 103, avenue des </w:t>
                    </w:r>
                    <w:proofErr w:type="spellStart"/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Champs-</w:t>
                    </w:r>
                    <w:r w:rsidR="00FC04A8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É</w:t>
                    </w:r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lysées</w:t>
                    </w:r>
                    <w:proofErr w:type="spellEnd"/>
                    <w:r w:rsidRPr="00A133D4">
                      <w:rPr>
                        <w:rFonts w:ascii="Univers Next for HSBC Regular" w:hAnsi="Univers Next for HSBC Regular" w:cs="Arial"/>
                        <w:i/>
                        <w:sz w:val="14"/>
                        <w:szCs w:val="14"/>
                      </w:rPr>
                      <w:t>, 75008 Paříž, Francie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935" distR="114935" simplePos="0" relativeHeight="251658752" behindDoc="1" locked="0" layoutInCell="1" allowOverlap="1" wp14:anchorId="1262C4EB" wp14:editId="72291C39">
              <wp:simplePos x="0" y="0"/>
              <wp:positionH relativeFrom="column">
                <wp:posOffset>-26670</wp:posOffset>
              </wp:positionH>
              <wp:positionV relativeFrom="paragraph">
                <wp:posOffset>-121920</wp:posOffset>
              </wp:positionV>
              <wp:extent cx="1626235" cy="4876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26235" cy="4876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B9414" w14:textId="77777777" w:rsidR="00045A78" w:rsidRDefault="00045A78" w:rsidP="00140EF7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Tato tisková zpráva je vydána</w:t>
                          </w:r>
                        </w:p>
                        <w:p w14:paraId="0B5C8727" w14:textId="77777777" w:rsidR="00045A78" w:rsidRDefault="006556D4" w:rsidP="00140EF7">
                          <w:pPr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HSBC France – pobočka Praha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="http://schemas.microsoft.com/office/word/2018/wordml" xmlns:w16cex="http://schemas.microsoft.com/office/word/2018/wordml/cex">
          <w:pict w14:anchorId="777D6D7B">
            <v:shape id="Text Box 1" style="position:absolute;margin-left:-2.1pt;margin-top:-9.6pt;width:128.05pt;height:38.4pt;z-index:-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5SC+QEAAOwDAAAOAAAAZHJzL2Uyb0RvYy54bWysU9uO0zAQfUfiHyy/07QFShU1XcGuipCW&#10;i7TLBziO01g4HjN2m5SvZ2wnZYE3RB6s8XjmzMw5k93N2Bt2Vug12IqvFkvOlJXQaHus+NfHw4st&#10;Zz4I2wgDVlX8ojy/2T9/thtcqdbQgWkUMgKxvhxcxbsQXFkUXnaqF34BTll6bAF7EeiKx6JBMRB6&#10;b4r1crkpBsDGIUjlPXnv8iPfJ/y2VTJ8bluvAjMVp95COjGddTyL/U6URxSu03JqQ/xDF73Qlope&#10;oe5EEOyE+i+oXksED21YSOgLaFstVZqBplkt/5jmoRNOpVmIHO+uNPn/Bys/nb8g003F15xZ0ZNE&#10;j2oM7B2MbBXZGZwvKejBUVgYyU0qp0m9uwf5zVNI8SQmJ/gYXQ8foSE8cQqQMsYW+8gRTc0IhuS4&#10;XCWINWXE3qw365evOZP09mr7ZrNNGhWinLMd+vBeQc+iUXEkiRO6ON/7ELsR5RwSi3kwujloY9IF&#10;j/WtQXYWtA6H9OVc4zqRvXM5n0MT3m8YxkYkCxEzl4uexEEcOxMQxnqcWJ04rKG5ECkIeQXplyGj&#10;A/zB2UDrV3H//SRQcWY+WNI37ups4GzUsyGspNSKB86yeRvyTp8c6mNHyFkjC2+J/FYnXqJKuYup&#10;XVqpNN60/nFnn95T1K+fdP8TAAD//wMAUEsDBBQABgAIAAAAIQC6iNfk4gAAAA4BAAAPAAAAZHJz&#10;L2Rvd25yZXYueG1sTE9LT4NAEL6b+B82Y+KtXaBSLWVpTI2piaeiiR637BRQdhbZbcF/73jSyzwy&#10;33yPfDPZTpxx8K0jBfE8AoFUOdNSreD15XF2B8IHTUZ3jlDBN3rYFJcXuc6MG2mP5zLUgknIZ1pB&#10;E0KfSemrBq32c9cj8e3oBqsDr0MtzaBHJredTKJoKa1uiRUa3eO2weqzPFkFZb97iuzHMaTb8bna&#10;vw+LxdfuTanrq+lhzeV+DSLgFP4+4DcD+4eCjR3ciYwXnYLZTcJI7vGKBwYkabwCcVCQ3i5BFrn8&#10;H6P4AQAA//8DAFBLAQItABQABgAIAAAAIQC2gziS/gAAAOEBAAATAAAAAAAAAAAAAAAAAAAAAABb&#10;Q29udGVudF9UeXBlc10ueG1sUEsBAi0AFAAGAAgAAAAhADj9If/WAAAAlAEAAAsAAAAAAAAAAAAA&#10;AAAALwEAAF9yZWxzLy5yZWxzUEsBAi0AFAAGAAgAAAAhALnrlIL5AQAA7AMAAA4AAAAAAAAAAAAA&#10;AAAALgIAAGRycy9lMm9Eb2MueG1sUEsBAi0AFAAGAAgAAAAhALqI1+TiAAAADgEAAA8AAAAAAAAA&#10;AAAAAAAAUwQAAGRycy9kb3ducmV2LnhtbFBLBQYAAAAABAAEAPMAAABiBQAAAAA=&#10;" w14:anchorId="1262C4EB">
              <v:fill opacity="0"/>
              <v:path arrowok="t"/>
              <v:textbox inset="0,0,0,0">
                <w:txbxContent>
                  <w:p w:rsidR="00045A78" w:rsidP="00140EF7" w:rsidRDefault="00045A78" w14:paraId="571E554C" w14:textId="77777777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Tato tisková zpráva je vydána</w:t>
                    </w:r>
                  </w:p>
                  <w:p w:rsidR="00045A78" w:rsidP="00140EF7" w:rsidRDefault="006556D4" w14:paraId="6B3C4089" w14:textId="77777777">
                    <w:pPr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HSBC France – pobočka Praha</w:t>
                    </w:r>
                  </w:p>
                </w:txbxContent>
              </v:textbox>
            </v:shape>
          </w:pict>
        </mc:Fallback>
      </mc:AlternateContent>
    </w:r>
    <w:r w:rsidR="0046642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04CBA" w14:textId="77777777" w:rsidR="001737FD" w:rsidRDefault="001737FD">
      <w:r>
        <w:separator/>
      </w:r>
    </w:p>
  </w:footnote>
  <w:footnote w:type="continuationSeparator" w:id="0">
    <w:p w14:paraId="7BB3E4DF" w14:textId="77777777" w:rsidR="001737FD" w:rsidRDefault="00173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A2C1A" w14:textId="77777777" w:rsidR="00045A78" w:rsidRDefault="00B90CB3">
    <w:pPr>
      <w:pStyle w:val="Header"/>
    </w:pPr>
    <w:r>
      <w:rPr>
        <w:i/>
        <w:noProof/>
        <w:sz w:val="14"/>
        <w:lang w:val="en-US"/>
      </w:rPr>
      <w:drawing>
        <wp:inline distT="0" distB="0" distL="0" distR="0" wp14:anchorId="79D05D35" wp14:editId="4994A121">
          <wp:extent cx="2793365" cy="51244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512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BD26" w14:textId="77777777" w:rsidR="00045A78" w:rsidRPr="004A510E" w:rsidRDefault="00B90CB3" w:rsidP="0018329E">
    <w:pPr>
      <w:pStyle w:val="Header"/>
      <w:tabs>
        <w:tab w:val="clear" w:pos="4153"/>
        <w:tab w:val="clear" w:pos="8306"/>
        <w:tab w:val="left" w:pos="1243"/>
      </w:tabs>
      <w:rPr>
        <w:sz w:val="56"/>
        <w:szCs w:val="56"/>
      </w:rPr>
    </w:pPr>
    <w:r>
      <w:rPr>
        <w:noProof/>
        <w:lang w:val="en-US"/>
      </w:rPr>
      <w:drawing>
        <wp:anchor distT="0" distB="0" distL="114300" distR="114300" simplePos="0" relativeHeight="251659776" behindDoc="1" locked="0" layoutInCell="1" allowOverlap="1" wp14:anchorId="65F657F6" wp14:editId="36996491">
          <wp:simplePos x="0" y="0"/>
          <wp:positionH relativeFrom="column">
            <wp:posOffset>-390525</wp:posOffset>
          </wp:positionH>
          <wp:positionV relativeFrom="paragraph">
            <wp:posOffset>-179070</wp:posOffset>
          </wp:positionV>
          <wp:extent cx="1619250" cy="845820"/>
          <wp:effectExtent l="0" t="0" r="0" b="0"/>
          <wp:wrapThrough wrapText="bothSides">
            <wp:wrapPolygon edited="0">
              <wp:start x="5252" y="6486"/>
              <wp:lineTo x="3388" y="10703"/>
              <wp:lineTo x="4066" y="12324"/>
              <wp:lineTo x="5082" y="14270"/>
              <wp:lineTo x="5252" y="14919"/>
              <wp:lineTo x="9826" y="14919"/>
              <wp:lineTo x="10673" y="14270"/>
              <wp:lineTo x="17788" y="12649"/>
              <wp:lineTo x="18296" y="9405"/>
              <wp:lineTo x="17280" y="8757"/>
              <wp:lineTo x="9826" y="6486"/>
              <wp:lineTo x="5252" y="6486"/>
            </wp:wrapPolygon>
          </wp:wrapThrough>
          <wp:docPr id="6" name="Picture 5" descr="HSBC_MASTERBRAND_LOGO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SBC_MASTERBRAND_LOGO_RG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845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B63CE3" w14:textId="77777777" w:rsidR="00045A78" w:rsidRDefault="00B90CB3">
    <w:pPr>
      <w:pStyle w:val="Header"/>
      <w:ind w:left="-85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35B3CD3E" wp14:editId="4DD590B3">
              <wp:simplePos x="0" y="0"/>
              <wp:positionH relativeFrom="column">
                <wp:posOffset>4436745</wp:posOffset>
              </wp:positionH>
              <wp:positionV relativeFrom="paragraph">
                <wp:posOffset>2110105</wp:posOffset>
              </wp:positionV>
              <wp:extent cx="3108960" cy="365760"/>
              <wp:effectExtent l="0" t="0" r="0" b="0"/>
              <wp:wrapNone/>
              <wp:docPr id="5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6200000">
                        <a:off x="0" y="0"/>
                        <a:ext cx="3108960" cy="3657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E2CA108" w14:textId="77777777" w:rsidR="00B90CB3" w:rsidRPr="00D249C8" w:rsidRDefault="00B90CB3" w:rsidP="00B90CB3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D249C8">
                            <w:rPr>
                              <w:rFonts w:ascii="Arial" w:hAnsi="Arial" w:cs="Arial"/>
                              <w:color w:val="C0C0C0"/>
                              <w:sz w:val="32"/>
                              <w:szCs w:val="32"/>
                            </w:rPr>
                            <w:t>Tisková zpráva</w:t>
                          </w:r>
                        </w:p>
                      </w:txbxContent>
                    </wps:txbx>
                    <wps:bodyPr wrap="square" lIns="0" tIns="0" rIns="0" bIns="0" numCol="1" fromWordArt="1">
                      <a:prstTxWarp prst="textPlain">
                        <a:avLst>
                          <a:gd name="adj" fmla="val 50019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35B3CD3E" id="_x0000_t202" coordsize="21600,21600" o:spt="202" path="m,l,21600r21600,l21600,xe">
              <v:stroke joinstyle="miter"/>
              <v:path gradientshapeok="t" o:connecttype="rect"/>
            </v:shapetype>
            <v:shape id="WordArt 4" o:spid="_x0000_s1026" type="#_x0000_t202" style="position:absolute;left:0;text-align:left;margin-left:349.35pt;margin-top:166.15pt;width:244.8pt;height:28.8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ro8QEAANADAAAOAAAAZHJzL2Uyb0RvYy54bWysU9Fu0zAUfUfiHyy/0yQbLVvUdBpMIKQB&#10;k7Zpz45jt4HY11y7Tfr3XDtJN8HbRB+sG/v4+J5zT9dXg+nYQaFvwVa8WOScKSuhae224o8Pn99d&#10;cOaDsI3owKqKH5XnV5u3b9a9K9UZ7KBrFDIisb7sXcV3Ibgyy7zcKSP8ApyydKgBjQj0idusQdET&#10;u+myszxfZT1g4xCk8p52b8ZDvkn8WisZfmjtVWBdxam3kFZMax3XbLMW5RaF27VyakO8ogsjWkuP&#10;nqhuRBBsj+0/VKaVCB50WEgwGWjdSpU0kJoi/0vN/U44lbSQOd6dbPL/j1Z+P9wha5uKLzmzwtCI&#10;nsjRawzsfTSnd74kzL0jVBg+wkBDTkK9uwX5yxMke4EZL/iIrvtv0BCd2AdINwaNhiHQCIoVjY5+&#10;aZs8YMRKwzmeBqKGwCRtnhf5xeWKjiSdna+WH6iOL4oykkW/HfrwRYFhsag40sATqzjc+jBCZ8jU&#10;aWxubDMM9TBJrKE5Us89BaHi/vdeoOKs+2rJ6ZiaucC5qOfC7s0noGwVnGkEM3k3mxSffhieBLqp&#10;v0DK7ro5LKnJlJpm8l40P4nIdJTBg+jYMs+Ly0nxBCbtz6zxroVrcli3SW0cxahlUkuxSX5NEY+5&#10;fPmdUM9/xM0fAAAA//8DAFBLAwQUAAYACAAAACEAmGanDOEAAAAQAQAADwAAAGRycy9kb3ducmV2&#10;LnhtbExPy07DMBC8I/EP1iJxo7YLpCSNUwGFWy+UfoATb+OosR1iNw1/z3KCy2pXMzuPcjO7nk04&#10;xi54BXIhgKFvgul8q+Dw+X73BCwm7Y3ug0cF3xhhU11flbow4eI/cNqnlpGIj4VWYFMaCs5jY9Hp&#10;uAgDesKOYXQ60Tm23Iz6QuKu50shMu5058nB6gFfLTan/dkp2MltnL9ejDgZO0nD67djlx+Uur2Z&#10;t2saz2tgCef09wG/HSg/VBSsDmdvIusV5PJhRVQCZHYPjBj5aklLrSATjznwquT/i1Q/AAAA//8D&#10;AFBLAQItABQABgAIAAAAIQC2gziS/gAAAOEBAAATAAAAAAAAAAAAAAAAAAAAAABbQ29udGVudF9U&#10;eXBlc10ueG1sUEsBAi0AFAAGAAgAAAAhADj9If/WAAAAlAEAAAsAAAAAAAAAAAAAAAAALwEAAF9y&#10;ZWxzLy5yZWxzUEsBAi0AFAAGAAgAAAAhAC8FqujxAQAA0AMAAA4AAAAAAAAAAAAAAAAALgIAAGRy&#10;cy9lMm9Eb2MueG1sUEsBAi0AFAAGAAgAAAAhAJhmpwzhAAAAEAEAAA8AAAAAAAAAAAAAAAAASwQA&#10;AGRycy9kb3ducmV2LnhtbFBLBQYAAAAABAAEAPMAAABZBQAAAAA=&#10;" o:allowincell="f" filled="f" stroked="f">
              <v:stroke joinstyle="round"/>
              <v:path arrowok="t"/>
              <v:textbox inset="0,0,0,0">
                <w:txbxContent>
                  <w:p w14:paraId="2E2CA108" w14:textId="77777777" w:rsidR="00B90CB3" w:rsidRPr="00D249C8" w:rsidRDefault="00B90CB3" w:rsidP="00B90CB3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D249C8">
                      <w:rPr>
                        <w:rFonts w:ascii="Arial" w:hAnsi="Arial" w:cs="Arial"/>
                        <w:color w:val="C0C0C0"/>
                        <w:sz w:val="32"/>
                        <w:szCs w:val="32"/>
                      </w:rPr>
                      <w:t>Tisková zpráva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51D0051" wp14:editId="14A1DC60">
              <wp:simplePos x="0" y="0"/>
              <wp:positionH relativeFrom="column">
                <wp:posOffset>5716905</wp:posOffset>
              </wp:positionH>
              <wp:positionV relativeFrom="paragraph">
                <wp:posOffset>738505</wp:posOffset>
              </wp:positionV>
              <wp:extent cx="0" cy="932688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93268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<w:pict w14:anchorId="4D658EF3">
            <v:line id="Line 3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450.15pt,58.15pt" to="450.15pt,792.55pt" w14:anchorId="625AAFF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GXBQIAABIEAAAOAAAAZHJzL2Uyb0RvYy54bWysU1Gv2iAUfl+y/0B417ZanTbWm8XqXtyu&#10;yd1+AAK1ZBQIoNUs++87UHVz9+VmWR8ocA4f33e+w+Lp3Ep04tYJrUqcDVOMuKKaCXUo8bevm8EM&#10;I+eJYkRqxUt84Q4/Ld+/W3Sm4CPdaMm4RQCiXNGZEjfemyJJHG14S9xQG64gWGvbEg9Le0iYJR2g&#10;tzIZpek06bRlxmrKnYPdqg/iZcSva079c1077pEsMXDzcbRx3IcxWS5IcbDENIJeaZB/YNESoeDS&#10;O1RFPEFHK15BtYJa7XTth1S3ia5rQXnUAGqy9C81Lw0xPGqB4jhzL5P7f7D0y2lnkWAlzjFSpAWL&#10;tkJxNA6V6YwrIGGldjZoo2f1YraafncQSx6CYeEMIO27z5oBCDl6HQtyrm0bDoNUdI51v9zrzs8e&#10;0X6Twu58PJrOZtGThBS3g8Y6/4nrFoVJiSWwi8DktHU+ECHFLSXco/RGSBltlQp1gDoZTeIBp6Vg&#10;IRjSnD3sV9KiEwmNEb+gGMAe0qw+KhbBGk7Y+jr3RMh+DvlSBTyQAnSus975H/N0vp6tZ/kgH03X&#10;gzytqsHHzSofTDfZh0k1rlarKvsZqGV50QjGuArsbl2Y5W9z+foe+v659+G9DMkjepQIZG//SDp6&#10;GezrLd9rdtnZUI1gKzReTL4+ktDZf65j1u+nvPwFAAD//wMAUEsDBBQABgAIAAAAIQDLz2eq4QAA&#10;ABEBAAAPAAAAZHJzL2Rvd25yZXYueG1sTE/BTsMwDL0j8Q+RkbhMLOmmTaNrOiFGb1wYIK5ea9qK&#10;xumabCt8PUYc4GLZfs/P72Wb0XXqRENoPVtIpgYUcemrlmsLL8/FzQpUiMgVdp7JwicF2OSXFxmm&#10;lT/zE512sVYiwiFFC02Mfap1KBtyGKa+Jxbs3Q8Oo4xDrasBzyLuOj0zZqkdtiwfGuzpvqHyY3d0&#10;FkLxSofia1JOzNu89jQ7bB8f0Nrrq3G7lnK3BhVpjH8X8JNB/EMuxvb+yFVQnYVbY+ZCFSBZSiOM&#10;381eNovVIgGdZ/p/kvwbAAD//wMAUEsBAi0AFAAGAAgAAAAhALaDOJL+AAAA4QEAABMAAAAAAAAA&#10;AAAAAAAAAAAAAFtDb250ZW50X1R5cGVzXS54bWxQSwECLQAUAAYACAAAACEAOP0h/9YAAACUAQAA&#10;CwAAAAAAAAAAAAAAAAAvAQAAX3JlbHMvLnJlbHNQSwECLQAUAAYACAAAACEAP2QRlwUCAAASBAAA&#10;DgAAAAAAAAAAAAAAAAAuAgAAZHJzL2Uyb0RvYy54bWxQSwECLQAUAAYACAAAACEAy89nquEAAAAR&#10;AQAADwAAAAAAAAAAAAAAAABfBAAAZHJzL2Rvd25yZXYueG1sUEsFBgAAAAAEAAQA8wAAAG0FAAAA&#10;AA==&#10;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0988F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D85D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CD081B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F18C2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C547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220F33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66B8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378335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C7257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907D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A0470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hybridMultilevel"/>
    <w:tmpl w:val="53E606C6"/>
    <w:lvl w:ilvl="0" w:tplc="5BD693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000000B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2B08ED"/>
    <w:multiLevelType w:val="singleLevel"/>
    <w:tmpl w:val="4984A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084C7311"/>
    <w:multiLevelType w:val="singleLevel"/>
    <w:tmpl w:val="8B8C1A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5631C8A"/>
    <w:multiLevelType w:val="hybridMultilevel"/>
    <w:tmpl w:val="0FD4995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BF82FDA"/>
    <w:multiLevelType w:val="hybridMultilevel"/>
    <w:tmpl w:val="0568D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A7512A"/>
    <w:multiLevelType w:val="hybridMultilevel"/>
    <w:tmpl w:val="ECD43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583D39"/>
    <w:multiLevelType w:val="hybridMultilevel"/>
    <w:tmpl w:val="57C220B2"/>
    <w:lvl w:ilvl="0" w:tplc="D1006CE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84B6A99A">
      <w:numFmt w:val="decimal"/>
      <w:lvlText w:val=""/>
      <w:lvlJc w:val="left"/>
    </w:lvl>
    <w:lvl w:ilvl="2" w:tplc="FB36F69A">
      <w:numFmt w:val="decimal"/>
      <w:lvlText w:val=""/>
      <w:lvlJc w:val="left"/>
    </w:lvl>
    <w:lvl w:ilvl="3" w:tplc="12E2DDFE">
      <w:numFmt w:val="decimal"/>
      <w:lvlText w:val=""/>
      <w:lvlJc w:val="left"/>
    </w:lvl>
    <w:lvl w:ilvl="4" w:tplc="EAD46122">
      <w:numFmt w:val="decimal"/>
      <w:lvlText w:val=""/>
      <w:lvlJc w:val="left"/>
    </w:lvl>
    <w:lvl w:ilvl="5" w:tplc="D730064A">
      <w:numFmt w:val="decimal"/>
      <w:lvlText w:val=""/>
      <w:lvlJc w:val="left"/>
    </w:lvl>
    <w:lvl w:ilvl="6" w:tplc="95DEE484">
      <w:numFmt w:val="decimal"/>
      <w:lvlText w:val=""/>
      <w:lvlJc w:val="left"/>
    </w:lvl>
    <w:lvl w:ilvl="7" w:tplc="5E22D4D0">
      <w:numFmt w:val="decimal"/>
      <w:lvlText w:val=""/>
      <w:lvlJc w:val="left"/>
    </w:lvl>
    <w:lvl w:ilvl="8" w:tplc="E9ECBC1E">
      <w:numFmt w:val="decimal"/>
      <w:lvlText w:val=""/>
      <w:lvlJc w:val="left"/>
    </w:lvl>
  </w:abstractNum>
  <w:abstractNum w:abstractNumId="19" w15:restartNumberingAfterBreak="0">
    <w:nsid w:val="21766884"/>
    <w:multiLevelType w:val="hybridMultilevel"/>
    <w:tmpl w:val="CDC82E9A"/>
    <w:lvl w:ilvl="0" w:tplc="AE962E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0AC93AA">
      <w:numFmt w:val="decimal"/>
      <w:lvlText w:val=""/>
      <w:lvlJc w:val="left"/>
    </w:lvl>
    <w:lvl w:ilvl="2" w:tplc="4DE47DCE">
      <w:numFmt w:val="decimal"/>
      <w:lvlText w:val=""/>
      <w:lvlJc w:val="left"/>
    </w:lvl>
    <w:lvl w:ilvl="3" w:tplc="C29424B2">
      <w:numFmt w:val="decimal"/>
      <w:lvlText w:val=""/>
      <w:lvlJc w:val="left"/>
    </w:lvl>
    <w:lvl w:ilvl="4" w:tplc="042A33B8">
      <w:numFmt w:val="decimal"/>
      <w:lvlText w:val=""/>
      <w:lvlJc w:val="left"/>
    </w:lvl>
    <w:lvl w:ilvl="5" w:tplc="8020BBFA">
      <w:numFmt w:val="decimal"/>
      <w:lvlText w:val=""/>
      <w:lvlJc w:val="left"/>
    </w:lvl>
    <w:lvl w:ilvl="6" w:tplc="09903F62">
      <w:numFmt w:val="decimal"/>
      <w:lvlText w:val=""/>
      <w:lvlJc w:val="left"/>
    </w:lvl>
    <w:lvl w:ilvl="7" w:tplc="188625C4">
      <w:numFmt w:val="decimal"/>
      <w:lvlText w:val=""/>
      <w:lvlJc w:val="left"/>
    </w:lvl>
    <w:lvl w:ilvl="8" w:tplc="162A9276">
      <w:numFmt w:val="decimal"/>
      <w:lvlText w:val=""/>
      <w:lvlJc w:val="left"/>
    </w:lvl>
  </w:abstractNum>
  <w:abstractNum w:abstractNumId="20" w15:restartNumberingAfterBreak="0">
    <w:nsid w:val="21B14E92"/>
    <w:multiLevelType w:val="hybridMultilevel"/>
    <w:tmpl w:val="ED6C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E61E66"/>
    <w:multiLevelType w:val="hybridMultilevel"/>
    <w:tmpl w:val="D7D818D4"/>
    <w:lvl w:ilvl="0" w:tplc="53A429D4">
      <w:start w:val="1"/>
      <w:numFmt w:val="bullet"/>
      <w:lvlText w:val=""/>
      <w:lvlJc w:val="left"/>
      <w:pPr>
        <w:tabs>
          <w:tab w:val="num" w:pos="1704"/>
        </w:tabs>
        <w:ind w:left="1704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6D44F1A"/>
    <w:multiLevelType w:val="hybridMultilevel"/>
    <w:tmpl w:val="EBDE601E"/>
    <w:lvl w:ilvl="0" w:tplc="260CE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40315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E4036C"/>
    <w:multiLevelType w:val="hybridMultilevel"/>
    <w:tmpl w:val="07768D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9A25FA7"/>
    <w:multiLevelType w:val="hybridMultilevel"/>
    <w:tmpl w:val="C6727E20"/>
    <w:lvl w:ilvl="0" w:tplc="15D01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6611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CD7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EC2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0E22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7E2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EA67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BC93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B071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A437B53"/>
    <w:multiLevelType w:val="hybridMultilevel"/>
    <w:tmpl w:val="D2627C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A35D46"/>
    <w:multiLevelType w:val="hybridMultilevel"/>
    <w:tmpl w:val="1A8E3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B01787"/>
    <w:multiLevelType w:val="hybridMultilevel"/>
    <w:tmpl w:val="08090001"/>
    <w:lvl w:ilvl="0" w:tplc="C10809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DC67D4">
      <w:numFmt w:val="decimal"/>
      <w:lvlText w:val=""/>
      <w:lvlJc w:val="left"/>
    </w:lvl>
    <w:lvl w:ilvl="2" w:tplc="CABC17EE">
      <w:numFmt w:val="decimal"/>
      <w:lvlText w:val=""/>
      <w:lvlJc w:val="left"/>
    </w:lvl>
    <w:lvl w:ilvl="3" w:tplc="631249AC">
      <w:numFmt w:val="decimal"/>
      <w:lvlText w:val=""/>
      <w:lvlJc w:val="left"/>
    </w:lvl>
    <w:lvl w:ilvl="4" w:tplc="A7807372">
      <w:numFmt w:val="decimal"/>
      <w:lvlText w:val=""/>
      <w:lvlJc w:val="left"/>
    </w:lvl>
    <w:lvl w:ilvl="5" w:tplc="37D693A2">
      <w:numFmt w:val="decimal"/>
      <w:lvlText w:val=""/>
      <w:lvlJc w:val="left"/>
    </w:lvl>
    <w:lvl w:ilvl="6" w:tplc="2474F0D8">
      <w:numFmt w:val="decimal"/>
      <w:lvlText w:val=""/>
      <w:lvlJc w:val="left"/>
    </w:lvl>
    <w:lvl w:ilvl="7" w:tplc="1B0C075C">
      <w:numFmt w:val="decimal"/>
      <w:lvlText w:val=""/>
      <w:lvlJc w:val="left"/>
    </w:lvl>
    <w:lvl w:ilvl="8" w:tplc="D5FCE2B4">
      <w:numFmt w:val="decimal"/>
      <w:lvlText w:val=""/>
      <w:lvlJc w:val="left"/>
    </w:lvl>
  </w:abstractNum>
  <w:abstractNum w:abstractNumId="28" w15:restartNumberingAfterBreak="0">
    <w:nsid w:val="3993718C"/>
    <w:multiLevelType w:val="hybridMultilevel"/>
    <w:tmpl w:val="9C98F6F4"/>
    <w:lvl w:ilvl="0" w:tplc="9C5C1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6802F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3CBF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94005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8FCF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8A28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08E6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44C50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DA68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9C37F2"/>
    <w:multiLevelType w:val="hybridMultilevel"/>
    <w:tmpl w:val="D7ECFF32"/>
    <w:lvl w:ilvl="0" w:tplc="9DD0A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73D89CDC">
      <w:numFmt w:val="decimal"/>
      <w:lvlText w:val=""/>
      <w:lvlJc w:val="left"/>
    </w:lvl>
    <w:lvl w:ilvl="2" w:tplc="401E456C">
      <w:numFmt w:val="decimal"/>
      <w:lvlText w:val=""/>
      <w:lvlJc w:val="left"/>
    </w:lvl>
    <w:lvl w:ilvl="3" w:tplc="9C748FC4">
      <w:numFmt w:val="decimal"/>
      <w:lvlText w:val=""/>
      <w:lvlJc w:val="left"/>
    </w:lvl>
    <w:lvl w:ilvl="4" w:tplc="FDE25520">
      <w:numFmt w:val="decimal"/>
      <w:lvlText w:val=""/>
      <w:lvlJc w:val="left"/>
    </w:lvl>
    <w:lvl w:ilvl="5" w:tplc="28302ECC">
      <w:numFmt w:val="decimal"/>
      <w:lvlText w:val=""/>
      <w:lvlJc w:val="left"/>
    </w:lvl>
    <w:lvl w:ilvl="6" w:tplc="9A3ED074">
      <w:numFmt w:val="decimal"/>
      <w:lvlText w:val=""/>
      <w:lvlJc w:val="left"/>
    </w:lvl>
    <w:lvl w:ilvl="7" w:tplc="922C4392">
      <w:numFmt w:val="decimal"/>
      <w:lvlText w:val=""/>
      <w:lvlJc w:val="left"/>
    </w:lvl>
    <w:lvl w:ilvl="8" w:tplc="B50E5528">
      <w:numFmt w:val="decimal"/>
      <w:lvlText w:val=""/>
      <w:lvlJc w:val="left"/>
    </w:lvl>
  </w:abstractNum>
  <w:abstractNum w:abstractNumId="30" w15:restartNumberingAfterBreak="0">
    <w:nsid w:val="4F9667AE"/>
    <w:multiLevelType w:val="hybridMultilevel"/>
    <w:tmpl w:val="9E780CC0"/>
    <w:lvl w:ilvl="0" w:tplc="937C6696">
      <w:numFmt w:val="bullet"/>
      <w:lvlText w:val="•"/>
      <w:lvlJc w:val="left"/>
      <w:pPr>
        <w:ind w:left="1471" w:hanging="360"/>
      </w:pPr>
      <w:rPr>
        <w:rFonts w:ascii="Times New Roman" w:eastAsia="Times New Roman" w:hAnsi="Times New Roman" w:cs="Times New Roman" w:hint="default"/>
        <w:color w:val="181719"/>
        <w:w w:val="99"/>
        <w:sz w:val="22"/>
        <w:szCs w:val="22"/>
      </w:rPr>
    </w:lvl>
    <w:lvl w:ilvl="1" w:tplc="E7B491F8">
      <w:numFmt w:val="bullet"/>
      <w:lvlText w:val="•"/>
      <w:lvlJc w:val="left"/>
      <w:pPr>
        <w:ind w:left="6780" w:hanging="360"/>
      </w:pPr>
      <w:rPr>
        <w:rFonts w:hint="default"/>
      </w:rPr>
    </w:lvl>
    <w:lvl w:ilvl="2" w:tplc="62908E54">
      <w:numFmt w:val="bullet"/>
      <w:lvlText w:val="•"/>
      <w:lvlJc w:val="left"/>
      <w:pPr>
        <w:ind w:left="7024" w:hanging="360"/>
      </w:pPr>
      <w:rPr>
        <w:rFonts w:hint="default"/>
      </w:rPr>
    </w:lvl>
    <w:lvl w:ilvl="3" w:tplc="99C812EE">
      <w:numFmt w:val="bullet"/>
      <w:lvlText w:val="•"/>
      <w:lvlJc w:val="left"/>
      <w:pPr>
        <w:ind w:left="7268" w:hanging="360"/>
      </w:pPr>
      <w:rPr>
        <w:rFonts w:hint="default"/>
      </w:rPr>
    </w:lvl>
    <w:lvl w:ilvl="4" w:tplc="83CA6D4C">
      <w:numFmt w:val="bullet"/>
      <w:lvlText w:val="•"/>
      <w:lvlJc w:val="left"/>
      <w:pPr>
        <w:ind w:left="7513" w:hanging="360"/>
      </w:pPr>
      <w:rPr>
        <w:rFonts w:hint="default"/>
      </w:rPr>
    </w:lvl>
    <w:lvl w:ilvl="5" w:tplc="7276B550">
      <w:numFmt w:val="bullet"/>
      <w:lvlText w:val="•"/>
      <w:lvlJc w:val="left"/>
      <w:pPr>
        <w:ind w:left="7757" w:hanging="360"/>
      </w:pPr>
      <w:rPr>
        <w:rFonts w:hint="default"/>
      </w:rPr>
    </w:lvl>
    <w:lvl w:ilvl="6" w:tplc="628AA200">
      <w:numFmt w:val="bullet"/>
      <w:lvlText w:val="•"/>
      <w:lvlJc w:val="left"/>
      <w:pPr>
        <w:ind w:left="8002" w:hanging="360"/>
      </w:pPr>
      <w:rPr>
        <w:rFonts w:hint="default"/>
      </w:rPr>
    </w:lvl>
    <w:lvl w:ilvl="7" w:tplc="58B4740E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BD4A6E2C">
      <w:numFmt w:val="bullet"/>
      <w:lvlText w:val="•"/>
      <w:lvlJc w:val="left"/>
      <w:pPr>
        <w:ind w:left="8491" w:hanging="360"/>
      </w:pPr>
      <w:rPr>
        <w:rFonts w:hint="default"/>
      </w:rPr>
    </w:lvl>
  </w:abstractNum>
  <w:abstractNum w:abstractNumId="31" w15:restartNumberingAfterBreak="0">
    <w:nsid w:val="524A21A6"/>
    <w:multiLevelType w:val="hybridMultilevel"/>
    <w:tmpl w:val="6D7CAB78"/>
    <w:lvl w:ilvl="0" w:tplc="8A94F1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4C977B1"/>
    <w:multiLevelType w:val="hybridMultilevel"/>
    <w:tmpl w:val="090A0424"/>
    <w:lvl w:ilvl="0" w:tplc="DC2078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132CCE"/>
    <w:multiLevelType w:val="hybridMultilevel"/>
    <w:tmpl w:val="304C3A3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B173CB7"/>
    <w:multiLevelType w:val="hybridMultilevel"/>
    <w:tmpl w:val="DB90AD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5258D"/>
    <w:multiLevelType w:val="hybridMultilevel"/>
    <w:tmpl w:val="92C412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B1D0D"/>
    <w:multiLevelType w:val="hybridMultilevel"/>
    <w:tmpl w:val="7E864CA0"/>
    <w:lvl w:ilvl="0" w:tplc="DCF4311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2630111"/>
    <w:multiLevelType w:val="hybridMultilevel"/>
    <w:tmpl w:val="4958068E"/>
    <w:lvl w:ilvl="0" w:tplc="0DF4C21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A50389"/>
    <w:multiLevelType w:val="hybridMultilevel"/>
    <w:tmpl w:val="BF968F7A"/>
    <w:lvl w:ilvl="0" w:tplc="2E8E84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FD86A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19C2E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490C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CB6F2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C8A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74A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A890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53A2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F844E82"/>
    <w:multiLevelType w:val="multilevel"/>
    <w:tmpl w:val="3BDCC9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29"/>
  </w:num>
  <w:num w:numId="2">
    <w:abstractNumId w:val="18"/>
  </w:num>
  <w:num w:numId="3">
    <w:abstractNumId w:val="14"/>
  </w:num>
  <w:num w:numId="4">
    <w:abstractNumId w:val="10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9"/>
  </w:num>
  <w:num w:numId="15">
    <w:abstractNumId w:val="13"/>
  </w:num>
  <w:num w:numId="16">
    <w:abstractNumId w:val="27"/>
  </w:num>
  <w:num w:numId="17">
    <w:abstractNumId w:val="25"/>
  </w:num>
  <w:num w:numId="18">
    <w:abstractNumId w:val="31"/>
  </w:num>
  <w:num w:numId="19">
    <w:abstractNumId w:val="32"/>
  </w:num>
  <w:num w:numId="20">
    <w:abstractNumId w:val="21"/>
  </w:num>
  <w:num w:numId="21">
    <w:abstractNumId w:val="38"/>
  </w:num>
  <w:num w:numId="22">
    <w:abstractNumId w:val="37"/>
  </w:num>
  <w:num w:numId="23">
    <w:abstractNumId w:val="15"/>
  </w:num>
  <w:num w:numId="24">
    <w:abstractNumId w:val="36"/>
  </w:num>
  <w:num w:numId="25">
    <w:abstractNumId w:val="28"/>
  </w:num>
  <w:num w:numId="26">
    <w:abstractNumId w:val="22"/>
  </w:num>
  <w:num w:numId="27">
    <w:abstractNumId w:val="17"/>
  </w:num>
  <w:num w:numId="28">
    <w:abstractNumId w:val="33"/>
  </w:num>
  <w:num w:numId="29">
    <w:abstractNumId w:val="23"/>
  </w:num>
  <w:num w:numId="30">
    <w:abstractNumId w:val="39"/>
  </w:num>
  <w:num w:numId="31">
    <w:abstractNumId w:val="0"/>
  </w:num>
  <w:num w:numId="32">
    <w:abstractNumId w:val="11"/>
  </w:num>
  <w:num w:numId="33">
    <w:abstractNumId w:val="12"/>
  </w:num>
  <w:num w:numId="34">
    <w:abstractNumId w:val="34"/>
  </w:num>
  <w:num w:numId="35">
    <w:abstractNumId w:val="24"/>
  </w:num>
  <w:num w:numId="36">
    <w:abstractNumId w:val="30"/>
  </w:num>
  <w:num w:numId="37">
    <w:abstractNumId w:val="16"/>
  </w:num>
  <w:num w:numId="38">
    <w:abstractNumId w:val="26"/>
  </w:num>
  <w:num w:numId="39">
    <w:abstractNumId w:val="35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BD7"/>
    <w:rsid w:val="00000C78"/>
    <w:rsid w:val="000045E8"/>
    <w:rsid w:val="00004B1C"/>
    <w:rsid w:val="00007649"/>
    <w:rsid w:val="00011F57"/>
    <w:rsid w:val="00013CDA"/>
    <w:rsid w:val="0002258A"/>
    <w:rsid w:val="000327FC"/>
    <w:rsid w:val="00040114"/>
    <w:rsid w:val="000404E3"/>
    <w:rsid w:val="00043576"/>
    <w:rsid w:val="00043A91"/>
    <w:rsid w:val="00045A78"/>
    <w:rsid w:val="00050918"/>
    <w:rsid w:val="00050C0D"/>
    <w:rsid w:val="00051E2E"/>
    <w:rsid w:val="000533E1"/>
    <w:rsid w:val="00056152"/>
    <w:rsid w:val="00056B56"/>
    <w:rsid w:val="00062FD3"/>
    <w:rsid w:val="00063795"/>
    <w:rsid w:val="0007185F"/>
    <w:rsid w:val="000748E4"/>
    <w:rsid w:val="00074FCA"/>
    <w:rsid w:val="00076148"/>
    <w:rsid w:val="0008282B"/>
    <w:rsid w:val="00084772"/>
    <w:rsid w:val="00085CF4"/>
    <w:rsid w:val="0009527C"/>
    <w:rsid w:val="000A22A9"/>
    <w:rsid w:val="000A4CEB"/>
    <w:rsid w:val="000A5D6C"/>
    <w:rsid w:val="000A6627"/>
    <w:rsid w:val="000A6CDA"/>
    <w:rsid w:val="000B34E1"/>
    <w:rsid w:val="000B4734"/>
    <w:rsid w:val="000B4AA0"/>
    <w:rsid w:val="000B4C00"/>
    <w:rsid w:val="000B6CF4"/>
    <w:rsid w:val="000C0F8E"/>
    <w:rsid w:val="000C232E"/>
    <w:rsid w:val="000D60F0"/>
    <w:rsid w:val="0010313C"/>
    <w:rsid w:val="001042A8"/>
    <w:rsid w:val="00106E3C"/>
    <w:rsid w:val="0010777C"/>
    <w:rsid w:val="001116C9"/>
    <w:rsid w:val="00113287"/>
    <w:rsid w:val="001153A2"/>
    <w:rsid w:val="001176C9"/>
    <w:rsid w:val="001311D8"/>
    <w:rsid w:val="001319FB"/>
    <w:rsid w:val="00131A88"/>
    <w:rsid w:val="00140EF7"/>
    <w:rsid w:val="0014205F"/>
    <w:rsid w:val="001438C3"/>
    <w:rsid w:val="00143F5A"/>
    <w:rsid w:val="0015409F"/>
    <w:rsid w:val="00154742"/>
    <w:rsid w:val="001548FC"/>
    <w:rsid w:val="0016144F"/>
    <w:rsid w:val="00165577"/>
    <w:rsid w:val="0016564C"/>
    <w:rsid w:val="00165D4F"/>
    <w:rsid w:val="001718CD"/>
    <w:rsid w:val="00171E0E"/>
    <w:rsid w:val="00172201"/>
    <w:rsid w:val="00173542"/>
    <w:rsid w:val="001737FD"/>
    <w:rsid w:val="0017579C"/>
    <w:rsid w:val="00175AFA"/>
    <w:rsid w:val="00176930"/>
    <w:rsid w:val="00180119"/>
    <w:rsid w:val="00180764"/>
    <w:rsid w:val="001824C4"/>
    <w:rsid w:val="0018329E"/>
    <w:rsid w:val="00192A93"/>
    <w:rsid w:val="00192B6E"/>
    <w:rsid w:val="00193585"/>
    <w:rsid w:val="00195784"/>
    <w:rsid w:val="00195C2A"/>
    <w:rsid w:val="00197874"/>
    <w:rsid w:val="001A67D3"/>
    <w:rsid w:val="001A7DB5"/>
    <w:rsid w:val="001B0044"/>
    <w:rsid w:val="001B30E7"/>
    <w:rsid w:val="001C20D8"/>
    <w:rsid w:val="001C335A"/>
    <w:rsid w:val="001C3B6B"/>
    <w:rsid w:val="001D04A1"/>
    <w:rsid w:val="001D206B"/>
    <w:rsid w:val="001D58B1"/>
    <w:rsid w:val="001D6CC8"/>
    <w:rsid w:val="001E04B0"/>
    <w:rsid w:val="001E19CD"/>
    <w:rsid w:val="001E34C3"/>
    <w:rsid w:val="001E57DB"/>
    <w:rsid w:val="001F10C2"/>
    <w:rsid w:val="001F11C2"/>
    <w:rsid w:val="001F3A96"/>
    <w:rsid w:val="001F4AC1"/>
    <w:rsid w:val="001F5CDE"/>
    <w:rsid w:val="002040EC"/>
    <w:rsid w:val="00211FE4"/>
    <w:rsid w:val="002138DB"/>
    <w:rsid w:val="002142A6"/>
    <w:rsid w:val="00214DAF"/>
    <w:rsid w:val="00216C34"/>
    <w:rsid w:val="00225871"/>
    <w:rsid w:val="002342F3"/>
    <w:rsid w:val="0024301C"/>
    <w:rsid w:val="002435CD"/>
    <w:rsid w:val="00247475"/>
    <w:rsid w:val="00250A87"/>
    <w:rsid w:val="002537C9"/>
    <w:rsid w:val="00257BC0"/>
    <w:rsid w:val="002600DF"/>
    <w:rsid w:val="00263904"/>
    <w:rsid w:val="00267764"/>
    <w:rsid w:val="002701CC"/>
    <w:rsid w:val="00277974"/>
    <w:rsid w:val="0028023D"/>
    <w:rsid w:val="002806CA"/>
    <w:rsid w:val="00290ED5"/>
    <w:rsid w:val="00290F92"/>
    <w:rsid w:val="002946CE"/>
    <w:rsid w:val="00294D42"/>
    <w:rsid w:val="002A5C2E"/>
    <w:rsid w:val="002B223B"/>
    <w:rsid w:val="002B3285"/>
    <w:rsid w:val="002C25B7"/>
    <w:rsid w:val="002C3316"/>
    <w:rsid w:val="002C5938"/>
    <w:rsid w:val="002D1556"/>
    <w:rsid w:val="002D243D"/>
    <w:rsid w:val="002D5BCF"/>
    <w:rsid w:val="002D6583"/>
    <w:rsid w:val="002E2020"/>
    <w:rsid w:val="002E49D5"/>
    <w:rsid w:val="002E6B7F"/>
    <w:rsid w:val="002E72E7"/>
    <w:rsid w:val="002E77BD"/>
    <w:rsid w:val="002F0BD7"/>
    <w:rsid w:val="002F177F"/>
    <w:rsid w:val="002F7B2A"/>
    <w:rsid w:val="00301AC2"/>
    <w:rsid w:val="00303BE6"/>
    <w:rsid w:val="00303EB3"/>
    <w:rsid w:val="00305348"/>
    <w:rsid w:val="0031347E"/>
    <w:rsid w:val="00314E27"/>
    <w:rsid w:val="003207AC"/>
    <w:rsid w:val="0032123B"/>
    <w:rsid w:val="00322BC1"/>
    <w:rsid w:val="00324BCE"/>
    <w:rsid w:val="0032761D"/>
    <w:rsid w:val="003309C4"/>
    <w:rsid w:val="0033127B"/>
    <w:rsid w:val="003320DC"/>
    <w:rsid w:val="003327E4"/>
    <w:rsid w:val="003343FE"/>
    <w:rsid w:val="00334A2C"/>
    <w:rsid w:val="00336230"/>
    <w:rsid w:val="00343B74"/>
    <w:rsid w:val="00345652"/>
    <w:rsid w:val="00346EB2"/>
    <w:rsid w:val="00351280"/>
    <w:rsid w:val="00351F98"/>
    <w:rsid w:val="00352407"/>
    <w:rsid w:val="00353502"/>
    <w:rsid w:val="003536DF"/>
    <w:rsid w:val="00362B6F"/>
    <w:rsid w:val="003630BE"/>
    <w:rsid w:val="00365C92"/>
    <w:rsid w:val="00366DF4"/>
    <w:rsid w:val="003679A0"/>
    <w:rsid w:val="00374BE1"/>
    <w:rsid w:val="00380AFF"/>
    <w:rsid w:val="00382B82"/>
    <w:rsid w:val="00384118"/>
    <w:rsid w:val="00384F61"/>
    <w:rsid w:val="00385800"/>
    <w:rsid w:val="003913FF"/>
    <w:rsid w:val="00391F49"/>
    <w:rsid w:val="00392FDF"/>
    <w:rsid w:val="00395D66"/>
    <w:rsid w:val="003A07F2"/>
    <w:rsid w:val="003A1E93"/>
    <w:rsid w:val="003A28FA"/>
    <w:rsid w:val="003A6624"/>
    <w:rsid w:val="003A7B8B"/>
    <w:rsid w:val="003B0DE6"/>
    <w:rsid w:val="003B5FB1"/>
    <w:rsid w:val="003B7CDB"/>
    <w:rsid w:val="003C0F84"/>
    <w:rsid w:val="003C5046"/>
    <w:rsid w:val="003C562B"/>
    <w:rsid w:val="003C696D"/>
    <w:rsid w:val="003C7E0C"/>
    <w:rsid w:val="003D0D05"/>
    <w:rsid w:val="003D1682"/>
    <w:rsid w:val="003D1B94"/>
    <w:rsid w:val="003D2E58"/>
    <w:rsid w:val="003D4942"/>
    <w:rsid w:val="003D5269"/>
    <w:rsid w:val="003D5CC2"/>
    <w:rsid w:val="003E741C"/>
    <w:rsid w:val="003E74CF"/>
    <w:rsid w:val="003F3895"/>
    <w:rsid w:val="003F5B58"/>
    <w:rsid w:val="004000F3"/>
    <w:rsid w:val="00400E08"/>
    <w:rsid w:val="00415D2B"/>
    <w:rsid w:val="00416B69"/>
    <w:rsid w:val="004244D5"/>
    <w:rsid w:val="00433B62"/>
    <w:rsid w:val="00434524"/>
    <w:rsid w:val="004350A1"/>
    <w:rsid w:val="00437AF0"/>
    <w:rsid w:val="00440B6D"/>
    <w:rsid w:val="0044171F"/>
    <w:rsid w:val="0044184E"/>
    <w:rsid w:val="00443FDE"/>
    <w:rsid w:val="00446BA7"/>
    <w:rsid w:val="00450C95"/>
    <w:rsid w:val="0045637B"/>
    <w:rsid w:val="00464348"/>
    <w:rsid w:val="004657F2"/>
    <w:rsid w:val="00466421"/>
    <w:rsid w:val="00467570"/>
    <w:rsid w:val="00467D42"/>
    <w:rsid w:val="004740B5"/>
    <w:rsid w:val="00474B89"/>
    <w:rsid w:val="004819B7"/>
    <w:rsid w:val="00487A10"/>
    <w:rsid w:val="00494B61"/>
    <w:rsid w:val="00497A96"/>
    <w:rsid w:val="004A04F2"/>
    <w:rsid w:val="004A1ECF"/>
    <w:rsid w:val="004A27D8"/>
    <w:rsid w:val="004A510E"/>
    <w:rsid w:val="004A6DA2"/>
    <w:rsid w:val="004A7B12"/>
    <w:rsid w:val="004B5631"/>
    <w:rsid w:val="004C0907"/>
    <w:rsid w:val="004C135C"/>
    <w:rsid w:val="004C3658"/>
    <w:rsid w:val="004C4553"/>
    <w:rsid w:val="004C5178"/>
    <w:rsid w:val="004C5F66"/>
    <w:rsid w:val="004D59B1"/>
    <w:rsid w:val="004D61EE"/>
    <w:rsid w:val="004D6BC4"/>
    <w:rsid w:val="004D71C3"/>
    <w:rsid w:val="004E062F"/>
    <w:rsid w:val="004E0EEC"/>
    <w:rsid w:val="004E1D63"/>
    <w:rsid w:val="004E217C"/>
    <w:rsid w:val="004E599B"/>
    <w:rsid w:val="004F2C76"/>
    <w:rsid w:val="004F3F6E"/>
    <w:rsid w:val="004F4E75"/>
    <w:rsid w:val="004F5E1D"/>
    <w:rsid w:val="00501391"/>
    <w:rsid w:val="005028F8"/>
    <w:rsid w:val="005040F9"/>
    <w:rsid w:val="00504F69"/>
    <w:rsid w:val="00505FAE"/>
    <w:rsid w:val="00512136"/>
    <w:rsid w:val="00515A39"/>
    <w:rsid w:val="00520607"/>
    <w:rsid w:val="00521F1C"/>
    <w:rsid w:val="00522E8F"/>
    <w:rsid w:val="005273AA"/>
    <w:rsid w:val="00527EFC"/>
    <w:rsid w:val="0053095A"/>
    <w:rsid w:val="00531A77"/>
    <w:rsid w:val="00534070"/>
    <w:rsid w:val="005409C6"/>
    <w:rsid w:val="00541FF8"/>
    <w:rsid w:val="0054404D"/>
    <w:rsid w:val="00545BFA"/>
    <w:rsid w:val="00546743"/>
    <w:rsid w:val="0055434B"/>
    <w:rsid w:val="0055707B"/>
    <w:rsid w:val="005578B2"/>
    <w:rsid w:val="00563582"/>
    <w:rsid w:val="0056618D"/>
    <w:rsid w:val="00574221"/>
    <w:rsid w:val="00586FA5"/>
    <w:rsid w:val="00592DF3"/>
    <w:rsid w:val="005932FE"/>
    <w:rsid w:val="00596E91"/>
    <w:rsid w:val="005B54CA"/>
    <w:rsid w:val="005B56F8"/>
    <w:rsid w:val="005B596A"/>
    <w:rsid w:val="005C1891"/>
    <w:rsid w:val="005C1AC7"/>
    <w:rsid w:val="005C1CA0"/>
    <w:rsid w:val="005C5F2D"/>
    <w:rsid w:val="005C7603"/>
    <w:rsid w:val="005C78E1"/>
    <w:rsid w:val="005D1BC9"/>
    <w:rsid w:val="005D2753"/>
    <w:rsid w:val="005D2839"/>
    <w:rsid w:val="005D2D77"/>
    <w:rsid w:val="005D344F"/>
    <w:rsid w:val="005D3858"/>
    <w:rsid w:val="005D653D"/>
    <w:rsid w:val="005D78D8"/>
    <w:rsid w:val="005E0914"/>
    <w:rsid w:val="005E1B0E"/>
    <w:rsid w:val="005F0E83"/>
    <w:rsid w:val="005F26BE"/>
    <w:rsid w:val="005F3685"/>
    <w:rsid w:val="005F3688"/>
    <w:rsid w:val="005F3EF1"/>
    <w:rsid w:val="005F5389"/>
    <w:rsid w:val="00600A7E"/>
    <w:rsid w:val="00602639"/>
    <w:rsid w:val="006032B0"/>
    <w:rsid w:val="006039D8"/>
    <w:rsid w:val="00604F1C"/>
    <w:rsid w:val="0060697F"/>
    <w:rsid w:val="00606AAF"/>
    <w:rsid w:val="00611391"/>
    <w:rsid w:val="006171AE"/>
    <w:rsid w:val="00617613"/>
    <w:rsid w:val="00622FC9"/>
    <w:rsid w:val="00626EF3"/>
    <w:rsid w:val="00637F81"/>
    <w:rsid w:val="00640A4C"/>
    <w:rsid w:val="00650A8B"/>
    <w:rsid w:val="006547DA"/>
    <w:rsid w:val="006556D4"/>
    <w:rsid w:val="006561F9"/>
    <w:rsid w:val="00657C28"/>
    <w:rsid w:val="00661098"/>
    <w:rsid w:val="006635C0"/>
    <w:rsid w:val="00664EC6"/>
    <w:rsid w:val="006666D9"/>
    <w:rsid w:val="0067233F"/>
    <w:rsid w:val="006750EF"/>
    <w:rsid w:val="00675D1E"/>
    <w:rsid w:val="00687E5B"/>
    <w:rsid w:val="006973BF"/>
    <w:rsid w:val="006A175B"/>
    <w:rsid w:val="006A43D7"/>
    <w:rsid w:val="006A46B4"/>
    <w:rsid w:val="006A5107"/>
    <w:rsid w:val="006A7C0D"/>
    <w:rsid w:val="006B0097"/>
    <w:rsid w:val="006B5B3B"/>
    <w:rsid w:val="006C4952"/>
    <w:rsid w:val="006C5C19"/>
    <w:rsid w:val="006C780D"/>
    <w:rsid w:val="006D33E7"/>
    <w:rsid w:val="006D3C36"/>
    <w:rsid w:val="006D427B"/>
    <w:rsid w:val="006D588A"/>
    <w:rsid w:val="006D7B10"/>
    <w:rsid w:val="006E04ED"/>
    <w:rsid w:val="006E0BEC"/>
    <w:rsid w:val="006E12D3"/>
    <w:rsid w:val="006E2537"/>
    <w:rsid w:val="006E28FB"/>
    <w:rsid w:val="006E297E"/>
    <w:rsid w:val="006E6FAA"/>
    <w:rsid w:val="006F2973"/>
    <w:rsid w:val="006F4986"/>
    <w:rsid w:val="006F7497"/>
    <w:rsid w:val="00703DE3"/>
    <w:rsid w:val="00703F6B"/>
    <w:rsid w:val="007060A7"/>
    <w:rsid w:val="007105F5"/>
    <w:rsid w:val="007223BD"/>
    <w:rsid w:val="007258E3"/>
    <w:rsid w:val="00726D4F"/>
    <w:rsid w:val="00727B68"/>
    <w:rsid w:val="00734D86"/>
    <w:rsid w:val="00735376"/>
    <w:rsid w:val="00735382"/>
    <w:rsid w:val="00742F5D"/>
    <w:rsid w:val="00743869"/>
    <w:rsid w:val="0074495C"/>
    <w:rsid w:val="00744CC1"/>
    <w:rsid w:val="00744E75"/>
    <w:rsid w:val="00747D68"/>
    <w:rsid w:val="0075506C"/>
    <w:rsid w:val="007550BE"/>
    <w:rsid w:val="00755B9C"/>
    <w:rsid w:val="00757CA7"/>
    <w:rsid w:val="00763C5F"/>
    <w:rsid w:val="0076496B"/>
    <w:rsid w:val="00764C9D"/>
    <w:rsid w:val="0076558E"/>
    <w:rsid w:val="00766D16"/>
    <w:rsid w:val="007704D6"/>
    <w:rsid w:val="0077569D"/>
    <w:rsid w:val="007758AD"/>
    <w:rsid w:val="00781784"/>
    <w:rsid w:val="0078337E"/>
    <w:rsid w:val="00785BDD"/>
    <w:rsid w:val="00786084"/>
    <w:rsid w:val="007901E8"/>
    <w:rsid w:val="007946BF"/>
    <w:rsid w:val="00794D0D"/>
    <w:rsid w:val="007964E5"/>
    <w:rsid w:val="007A0D9E"/>
    <w:rsid w:val="007B5D97"/>
    <w:rsid w:val="007C0D96"/>
    <w:rsid w:val="007C1C02"/>
    <w:rsid w:val="007C2364"/>
    <w:rsid w:val="007C3F8E"/>
    <w:rsid w:val="007C6177"/>
    <w:rsid w:val="007C792E"/>
    <w:rsid w:val="007D1CDF"/>
    <w:rsid w:val="007D6E18"/>
    <w:rsid w:val="007D7309"/>
    <w:rsid w:val="007E0746"/>
    <w:rsid w:val="007E39E6"/>
    <w:rsid w:val="007E45B6"/>
    <w:rsid w:val="007E563D"/>
    <w:rsid w:val="007E6FA1"/>
    <w:rsid w:val="007F64D7"/>
    <w:rsid w:val="007F6E22"/>
    <w:rsid w:val="007F736B"/>
    <w:rsid w:val="00800349"/>
    <w:rsid w:val="00803503"/>
    <w:rsid w:val="00803D4E"/>
    <w:rsid w:val="00804137"/>
    <w:rsid w:val="008068C6"/>
    <w:rsid w:val="008107B6"/>
    <w:rsid w:val="0081252E"/>
    <w:rsid w:val="008129C6"/>
    <w:rsid w:val="00815841"/>
    <w:rsid w:val="0081613B"/>
    <w:rsid w:val="00816DEF"/>
    <w:rsid w:val="00821744"/>
    <w:rsid w:val="00825DC5"/>
    <w:rsid w:val="00831B37"/>
    <w:rsid w:val="00834BBF"/>
    <w:rsid w:val="00843B36"/>
    <w:rsid w:val="00844028"/>
    <w:rsid w:val="0085164E"/>
    <w:rsid w:val="00855429"/>
    <w:rsid w:val="008555B8"/>
    <w:rsid w:val="00860E0C"/>
    <w:rsid w:val="00860F34"/>
    <w:rsid w:val="00863D79"/>
    <w:rsid w:val="00864932"/>
    <w:rsid w:val="00867BBB"/>
    <w:rsid w:val="0087034B"/>
    <w:rsid w:val="008721D3"/>
    <w:rsid w:val="00881166"/>
    <w:rsid w:val="00882E5A"/>
    <w:rsid w:val="0088360A"/>
    <w:rsid w:val="00883F3B"/>
    <w:rsid w:val="00887E0C"/>
    <w:rsid w:val="00891D27"/>
    <w:rsid w:val="008924C4"/>
    <w:rsid w:val="00892E11"/>
    <w:rsid w:val="00893B8B"/>
    <w:rsid w:val="00893EB1"/>
    <w:rsid w:val="00896BD5"/>
    <w:rsid w:val="008A06C0"/>
    <w:rsid w:val="008A1F84"/>
    <w:rsid w:val="008B3A53"/>
    <w:rsid w:val="008B3C71"/>
    <w:rsid w:val="008B40F2"/>
    <w:rsid w:val="008B76A9"/>
    <w:rsid w:val="008B7767"/>
    <w:rsid w:val="008B7D9D"/>
    <w:rsid w:val="008C33D2"/>
    <w:rsid w:val="008C6C9C"/>
    <w:rsid w:val="008C7A97"/>
    <w:rsid w:val="008D1230"/>
    <w:rsid w:val="008D28F9"/>
    <w:rsid w:val="008D438C"/>
    <w:rsid w:val="008D5423"/>
    <w:rsid w:val="008D5BAE"/>
    <w:rsid w:val="008D7D63"/>
    <w:rsid w:val="008E184E"/>
    <w:rsid w:val="008E5F91"/>
    <w:rsid w:val="008F1381"/>
    <w:rsid w:val="008F2B1A"/>
    <w:rsid w:val="008F49BA"/>
    <w:rsid w:val="00900451"/>
    <w:rsid w:val="009028A3"/>
    <w:rsid w:val="00904A13"/>
    <w:rsid w:val="009123A6"/>
    <w:rsid w:val="00915B87"/>
    <w:rsid w:val="00920AD6"/>
    <w:rsid w:val="00934BCA"/>
    <w:rsid w:val="00934CBB"/>
    <w:rsid w:val="00935399"/>
    <w:rsid w:val="00936A76"/>
    <w:rsid w:val="009400AD"/>
    <w:rsid w:val="00945DC0"/>
    <w:rsid w:val="00952332"/>
    <w:rsid w:val="00952E05"/>
    <w:rsid w:val="00954A1C"/>
    <w:rsid w:val="009565E2"/>
    <w:rsid w:val="00956E1E"/>
    <w:rsid w:val="00957431"/>
    <w:rsid w:val="00957753"/>
    <w:rsid w:val="00957866"/>
    <w:rsid w:val="00957D8B"/>
    <w:rsid w:val="00961B94"/>
    <w:rsid w:val="00962AD9"/>
    <w:rsid w:val="0096546D"/>
    <w:rsid w:val="009669F5"/>
    <w:rsid w:val="00970775"/>
    <w:rsid w:val="00973EFC"/>
    <w:rsid w:val="0097449F"/>
    <w:rsid w:val="00977FBE"/>
    <w:rsid w:val="009804CE"/>
    <w:rsid w:val="009817C8"/>
    <w:rsid w:val="009829C2"/>
    <w:rsid w:val="0098779A"/>
    <w:rsid w:val="00990647"/>
    <w:rsid w:val="00991A66"/>
    <w:rsid w:val="00992EB5"/>
    <w:rsid w:val="009A577B"/>
    <w:rsid w:val="009A6F85"/>
    <w:rsid w:val="009A7A18"/>
    <w:rsid w:val="009B007E"/>
    <w:rsid w:val="009C0872"/>
    <w:rsid w:val="009C1076"/>
    <w:rsid w:val="009C240E"/>
    <w:rsid w:val="009C2A68"/>
    <w:rsid w:val="009C4B0B"/>
    <w:rsid w:val="009C77C3"/>
    <w:rsid w:val="009C7E02"/>
    <w:rsid w:val="009D0F31"/>
    <w:rsid w:val="009D21AD"/>
    <w:rsid w:val="009D64FE"/>
    <w:rsid w:val="009D6B32"/>
    <w:rsid w:val="009E1238"/>
    <w:rsid w:val="009E305B"/>
    <w:rsid w:val="009E3255"/>
    <w:rsid w:val="009E4C17"/>
    <w:rsid w:val="009E6036"/>
    <w:rsid w:val="009E65F5"/>
    <w:rsid w:val="009E67C7"/>
    <w:rsid w:val="009E7008"/>
    <w:rsid w:val="009E77CA"/>
    <w:rsid w:val="009E7A2C"/>
    <w:rsid w:val="009F0C0C"/>
    <w:rsid w:val="00A008B6"/>
    <w:rsid w:val="00A01C9A"/>
    <w:rsid w:val="00A026F8"/>
    <w:rsid w:val="00A03D0A"/>
    <w:rsid w:val="00A07624"/>
    <w:rsid w:val="00A12745"/>
    <w:rsid w:val="00A13413"/>
    <w:rsid w:val="00A15C21"/>
    <w:rsid w:val="00A17CFB"/>
    <w:rsid w:val="00A31088"/>
    <w:rsid w:val="00A316CC"/>
    <w:rsid w:val="00A31FAB"/>
    <w:rsid w:val="00A35C58"/>
    <w:rsid w:val="00A35E5C"/>
    <w:rsid w:val="00A361F1"/>
    <w:rsid w:val="00A43A44"/>
    <w:rsid w:val="00A466C0"/>
    <w:rsid w:val="00A476B1"/>
    <w:rsid w:val="00A511A2"/>
    <w:rsid w:val="00A51A1D"/>
    <w:rsid w:val="00A53CBD"/>
    <w:rsid w:val="00A55858"/>
    <w:rsid w:val="00A607D4"/>
    <w:rsid w:val="00A63E7E"/>
    <w:rsid w:val="00A659C7"/>
    <w:rsid w:val="00A66A9A"/>
    <w:rsid w:val="00A72171"/>
    <w:rsid w:val="00A741AA"/>
    <w:rsid w:val="00A7523E"/>
    <w:rsid w:val="00A76B09"/>
    <w:rsid w:val="00A84C07"/>
    <w:rsid w:val="00A8778A"/>
    <w:rsid w:val="00A92AB3"/>
    <w:rsid w:val="00A95F75"/>
    <w:rsid w:val="00A974ED"/>
    <w:rsid w:val="00AA0824"/>
    <w:rsid w:val="00AA10E4"/>
    <w:rsid w:val="00AA31D3"/>
    <w:rsid w:val="00AA3962"/>
    <w:rsid w:val="00AA70A3"/>
    <w:rsid w:val="00AB1F57"/>
    <w:rsid w:val="00AB4FE4"/>
    <w:rsid w:val="00AB515D"/>
    <w:rsid w:val="00AB5C04"/>
    <w:rsid w:val="00AB6C59"/>
    <w:rsid w:val="00AB74CF"/>
    <w:rsid w:val="00AC1247"/>
    <w:rsid w:val="00AC3CAE"/>
    <w:rsid w:val="00AC4F50"/>
    <w:rsid w:val="00AC6C13"/>
    <w:rsid w:val="00AD0ABE"/>
    <w:rsid w:val="00AD1B54"/>
    <w:rsid w:val="00AD48CF"/>
    <w:rsid w:val="00AD5CC4"/>
    <w:rsid w:val="00AE0CC5"/>
    <w:rsid w:val="00AE1824"/>
    <w:rsid w:val="00AE2802"/>
    <w:rsid w:val="00AE3F1C"/>
    <w:rsid w:val="00AE49AC"/>
    <w:rsid w:val="00AE6EAF"/>
    <w:rsid w:val="00AF62C0"/>
    <w:rsid w:val="00AF647F"/>
    <w:rsid w:val="00AF73B7"/>
    <w:rsid w:val="00B017FB"/>
    <w:rsid w:val="00B01F0F"/>
    <w:rsid w:val="00B0305E"/>
    <w:rsid w:val="00B03D85"/>
    <w:rsid w:val="00B0564C"/>
    <w:rsid w:val="00B11CE1"/>
    <w:rsid w:val="00B21D6E"/>
    <w:rsid w:val="00B2589D"/>
    <w:rsid w:val="00B30126"/>
    <w:rsid w:val="00B3218A"/>
    <w:rsid w:val="00B32686"/>
    <w:rsid w:val="00B32E93"/>
    <w:rsid w:val="00B33854"/>
    <w:rsid w:val="00B36CC1"/>
    <w:rsid w:val="00B3739B"/>
    <w:rsid w:val="00B479E4"/>
    <w:rsid w:val="00B47B7A"/>
    <w:rsid w:val="00B52370"/>
    <w:rsid w:val="00B5238A"/>
    <w:rsid w:val="00B53AD7"/>
    <w:rsid w:val="00B559E6"/>
    <w:rsid w:val="00B61086"/>
    <w:rsid w:val="00B6427C"/>
    <w:rsid w:val="00B67979"/>
    <w:rsid w:val="00B72AF1"/>
    <w:rsid w:val="00B73D29"/>
    <w:rsid w:val="00B74576"/>
    <w:rsid w:val="00B7719C"/>
    <w:rsid w:val="00B80148"/>
    <w:rsid w:val="00B84D73"/>
    <w:rsid w:val="00B85F9A"/>
    <w:rsid w:val="00B8655B"/>
    <w:rsid w:val="00B86D37"/>
    <w:rsid w:val="00B90CB3"/>
    <w:rsid w:val="00B9165A"/>
    <w:rsid w:val="00B93C6A"/>
    <w:rsid w:val="00BA2B4A"/>
    <w:rsid w:val="00BA54E7"/>
    <w:rsid w:val="00BB0790"/>
    <w:rsid w:val="00BB1725"/>
    <w:rsid w:val="00BB402A"/>
    <w:rsid w:val="00BB50C0"/>
    <w:rsid w:val="00BB7B1C"/>
    <w:rsid w:val="00BD0EAB"/>
    <w:rsid w:val="00BD41D9"/>
    <w:rsid w:val="00BE3585"/>
    <w:rsid w:val="00BE7074"/>
    <w:rsid w:val="00BE7A9A"/>
    <w:rsid w:val="00BF056F"/>
    <w:rsid w:val="00BF2B91"/>
    <w:rsid w:val="00BF594F"/>
    <w:rsid w:val="00BF5AA4"/>
    <w:rsid w:val="00BF6636"/>
    <w:rsid w:val="00C02873"/>
    <w:rsid w:val="00C10E13"/>
    <w:rsid w:val="00C225E9"/>
    <w:rsid w:val="00C2276B"/>
    <w:rsid w:val="00C236FF"/>
    <w:rsid w:val="00C25BC7"/>
    <w:rsid w:val="00C2643C"/>
    <w:rsid w:val="00C26FBF"/>
    <w:rsid w:val="00C279B2"/>
    <w:rsid w:val="00C30C61"/>
    <w:rsid w:val="00C3271D"/>
    <w:rsid w:val="00C327E3"/>
    <w:rsid w:val="00C32F0D"/>
    <w:rsid w:val="00C3321E"/>
    <w:rsid w:val="00C35ECB"/>
    <w:rsid w:val="00C36895"/>
    <w:rsid w:val="00C370FD"/>
    <w:rsid w:val="00C41DC7"/>
    <w:rsid w:val="00C4263D"/>
    <w:rsid w:val="00C454EE"/>
    <w:rsid w:val="00C4574E"/>
    <w:rsid w:val="00C45ACA"/>
    <w:rsid w:val="00C461CC"/>
    <w:rsid w:val="00C47483"/>
    <w:rsid w:val="00C5393D"/>
    <w:rsid w:val="00C54FFC"/>
    <w:rsid w:val="00C5503E"/>
    <w:rsid w:val="00C55F18"/>
    <w:rsid w:val="00C56D62"/>
    <w:rsid w:val="00C60442"/>
    <w:rsid w:val="00C63411"/>
    <w:rsid w:val="00C657D4"/>
    <w:rsid w:val="00C6730F"/>
    <w:rsid w:val="00C67791"/>
    <w:rsid w:val="00C67D4E"/>
    <w:rsid w:val="00C728B2"/>
    <w:rsid w:val="00C735F5"/>
    <w:rsid w:val="00C74065"/>
    <w:rsid w:val="00C74844"/>
    <w:rsid w:val="00C74F12"/>
    <w:rsid w:val="00C7567C"/>
    <w:rsid w:val="00C756CF"/>
    <w:rsid w:val="00C758C2"/>
    <w:rsid w:val="00C761E2"/>
    <w:rsid w:val="00C807C8"/>
    <w:rsid w:val="00C80FD5"/>
    <w:rsid w:val="00C9327D"/>
    <w:rsid w:val="00C932E7"/>
    <w:rsid w:val="00C937E5"/>
    <w:rsid w:val="00C95D6C"/>
    <w:rsid w:val="00C9733C"/>
    <w:rsid w:val="00CA129C"/>
    <w:rsid w:val="00CA21E1"/>
    <w:rsid w:val="00CA4CAF"/>
    <w:rsid w:val="00CA59E0"/>
    <w:rsid w:val="00CB0F50"/>
    <w:rsid w:val="00CB2B5D"/>
    <w:rsid w:val="00CB4905"/>
    <w:rsid w:val="00CB6EEF"/>
    <w:rsid w:val="00CC06C6"/>
    <w:rsid w:val="00CD0154"/>
    <w:rsid w:val="00CD03AD"/>
    <w:rsid w:val="00CD1729"/>
    <w:rsid w:val="00CD20A6"/>
    <w:rsid w:val="00CD349F"/>
    <w:rsid w:val="00CE1B53"/>
    <w:rsid w:val="00CE3F52"/>
    <w:rsid w:val="00CE4B36"/>
    <w:rsid w:val="00CF231E"/>
    <w:rsid w:val="00CF4E51"/>
    <w:rsid w:val="00CF58BC"/>
    <w:rsid w:val="00CF7BA3"/>
    <w:rsid w:val="00D014D7"/>
    <w:rsid w:val="00D02208"/>
    <w:rsid w:val="00D02F6F"/>
    <w:rsid w:val="00D03198"/>
    <w:rsid w:val="00D13A8D"/>
    <w:rsid w:val="00D1735D"/>
    <w:rsid w:val="00D23E53"/>
    <w:rsid w:val="00D249C8"/>
    <w:rsid w:val="00D24B39"/>
    <w:rsid w:val="00D3078B"/>
    <w:rsid w:val="00D36DA3"/>
    <w:rsid w:val="00D406CE"/>
    <w:rsid w:val="00D43089"/>
    <w:rsid w:val="00D45596"/>
    <w:rsid w:val="00D45845"/>
    <w:rsid w:val="00D4689E"/>
    <w:rsid w:val="00D476FD"/>
    <w:rsid w:val="00D5079C"/>
    <w:rsid w:val="00D54EDE"/>
    <w:rsid w:val="00D618A0"/>
    <w:rsid w:val="00D70AF2"/>
    <w:rsid w:val="00D756D1"/>
    <w:rsid w:val="00D80382"/>
    <w:rsid w:val="00D8079E"/>
    <w:rsid w:val="00D836CD"/>
    <w:rsid w:val="00D84957"/>
    <w:rsid w:val="00D84A22"/>
    <w:rsid w:val="00D866D6"/>
    <w:rsid w:val="00D95139"/>
    <w:rsid w:val="00D971A8"/>
    <w:rsid w:val="00DA508C"/>
    <w:rsid w:val="00DA57DA"/>
    <w:rsid w:val="00DA7639"/>
    <w:rsid w:val="00DB52EC"/>
    <w:rsid w:val="00DB5856"/>
    <w:rsid w:val="00DB65C6"/>
    <w:rsid w:val="00DC0FAA"/>
    <w:rsid w:val="00DC26D3"/>
    <w:rsid w:val="00DC3322"/>
    <w:rsid w:val="00DC58A6"/>
    <w:rsid w:val="00DC6BB0"/>
    <w:rsid w:val="00DC72C0"/>
    <w:rsid w:val="00DD2C5A"/>
    <w:rsid w:val="00DD4E51"/>
    <w:rsid w:val="00DD5E3B"/>
    <w:rsid w:val="00DD724A"/>
    <w:rsid w:val="00DE4A31"/>
    <w:rsid w:val="00DF1FB0"/>
    <w:rsid w:val="00DF7DDA"/>
    <w:rsid w:val="00E01F9E"/>
    <w:rsid w:val="00E04E50"/>
    <w:rsid w:val="00E0519B"/>
    <w:rsid w:val="00E14033"/>
    <w:rsid w:val="00E20874"/>
    <w:rsid w:val="00E23AE1"/>
    <w:rsid w:val="00E2504C"/>
    <w:rsid w:val="00E30674"/>
    <w:rsid w:val="00E31487"/>
    <w:rsid w:val="00E33AE2"/>
    <w:rsid w:val="00E34C58"/>
    <w:rsid w:val="00E41EC7"/>
    <w:rsid w:val="00E45747"/>
    <w:rsid w:val="00E50DF6"/>
    <w:rsid w:val="00E51567"/>
    <w:rsid w:val="00E5528E"/>
    <w:rsid w:val="00E62F78"/>
    <w:rsid w:val="00E70D20"/>
    <w:rsid w:val="00E73F31"/>
    <w:rsid w:val="00E73FBC"/>
    <w:rsid w:val="00E76056"/>
    <w:rsid w:val="00E77A37"/>
    <w:rsid w:val="00E83829"/>
    <w:rsid w:val="00E83C00"/>
    <w:rsid w:val="00E840D2"/>
    <w:rsid w:val="00E86DA7"/>
    <w:rsid w:val="00E90582"/>
    <w:rsid w:val="00E953F3"/>
    <w:rsid w:val="00E956BC"/>
    <w:rsid w:val="00E96720"/>
    <w:rsid w:val="00EA0BF5"/>
    <w:rsid w:val="00EA0F72"/>
    <w:rsid w:val="00EA16EA"/>
    <w:rsid w:val="00EA230D"/>
    <w:rsid w:val="00EA2808"/>
    <w:rsid w:val="00EA4DC0"/>
    <w:rsid w:val="00EB186C"/>
    <w:rsid w:val="00EB2B36"/>
    <w:rsid w:val="00EB3B06"/>
    <w:rsid w:val="00EB66BC"/>
    <w:rsid w:val="00EC37D2"/>
    <w:rsid w:val="00EC3D15"/>
    <w:rsid w:val="00EC6B37"/>
    <w:rsid w:val="00EC74D7"/>
    <w:rsid w:val="00ED02C7"/>
    <w:rsid w:val="00ED0C06"/>
    <w:rsid w:val="00ED1B81"/>
    <w:rsid w:val="00ED2169"/>
    <w:rsid w:val="00ED5AF7"/>
    <w:rsid w:val="00EE1544"/>
    <w:rsid w:val="00EE25EB"/>
    <w:rsid w:val="00EF0CDF"/>
    <w:rsid w:val="00EF5206"/>
    <w:rsid w:val="00EF5B0B"/>
    <w:rsid w:val="00EF6530"/>
    <w:rsid w:val="00EF7266"/>
    <w:rsid w:val="00F05D44"/>
    <w:rsid w:val="00F07C39"/>
    <w:rsid w:val="00F119B6"/>
    <w:rsid w:val="00F11A52"/>
    <w:rsid w:val="00F11AAF"/>
    <w:rsid w:val="00F11E02"/>
    <w:rsid w:val="00F1280F"/>
    <w:rsid w:val="00F12852"/>
    <w:rsid w:val="00F16A45"/>
    <w:rsid w:val="00F205CC"/>
    <w:rsid w:val="00F22836"/>
    <w:rsid w:val="00F23768"/>
    <w:rsid w:val="00F25753"/>
    <w:rsid w:val="00F308B2"/>
    <w:rsid w:val="00F32457"/>
    <w:rsid w:val="00F32AD7"/>
    <w:rsid w:val="00F330DE"/>
    <w:rsid w:val="00F341AB"/>
    <w:rsid w:val="00F4748F"/>
    <w:rsid w:val="00F501F9"/>
    <w:rsid w:val="00F51C46"/>
    <w:rsid w:val="00F553D1"/>
    <w:rsid w:val="00F6194F"/>
    <w:rsid w:val="00F66B96"/>
    <w:rsid w:val="00F67D28"/>
    <w:rsid w:val="00F67E1D"/>
    <w:rsid w:val="00F752B3"/>
    <w:rsid w:val="00F84849"/>
    <w:rsid w:val="00F84B0B"/>
    <w:rsid w:val="00F84F91"/>
    <w:rsid w:val="00F85708"/>
    <w:rsid w:val="00F96144"/>
    <w:rsid w:val="00FA3BDF"/>
    <w:rsid w:val="00FA55C4"/>
    <w:rsid w:val="00FA691B"/>
    <w:rsid w:val="00FA7530"/>
    <w:rsid w:val="00FB26EF"/>
    <w:rsid w:val="00FB53EA"/>
    <w:rsid w:val="00FB62E5"/>
    <w:rsid w:val="00FB74BE"/>
    <w:rsid w:val="00FC04A8"/>
    <w:rsid w:val="00FC62EA"/>
    <w:rsid w:val="00FD39F1"/>
    <w:rsid w:val="00FE0D8A"/>
    <w:rsid w:val="00FE2B76"/>
    <w:rsid w:val="00FE4558"/>
    <w:rsid w:val="00FE56B0"/>
    <w:rsid w:val="00FE62EF"/>
    <w:rsid w:val="00FF0AE4"/>
    <w:rsid w:val="00FF145C"/>
    <w:rsid w:val="00FF4E32"/>
    <w:rsid w:val="7CCEF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D99EABD"/>
  <w15:chartTrackingRefBased/>
  <w15:docId w15:val="{6A17AB67-E0F5-422E-85A8-58D6A5240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b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right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1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sz w:val="28"/>
    </w:rPr>
  </w:style>
  <w:style w:type="paragraph" w:styleId="BodyText2">
    <w:name w:val="Body Text 2"/>
    <w:basedOn w:val="Normal"/>
    <w:pPr>
      <w:spacing w:line="360" w:lineRule="auto"/>
    </w:pPr>
    <w:rPr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spacing w:after="120"/>
      <w:ind w:firstLine="210"/>
    </w:pPr>
    <w:rPr>
      <w:b w:val="0"/>
      <w:sz w:val="20"/>
    </w:r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EnvelopeReturn">
    <w:name w:val="envelope return"/>
    <w:basedOn w:val="Normal"/>
    <w:rPr>
      <w:rFonts w:ascii="Arial" w:hAnsi="Arial"/>
    </w:rPr>
  </w:style>
  <w:style w:type="paragraph" w:styleId="FootnoteText">
    <w:name w:val="footnote text"/>
    <w:basedOn w:val="Normal"/>
    <w:link w:val="FootnoteTextChar"/>
    <w:uiPriority w:val="99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ListBullet2">
    <w:name w:val="List Bullet 2"/>
    <w:basedOn w:val="Normal"/>
    <w:autoRedefine/>
    <w:pPr>
      <w:numPr>
        <w:numId w:val="5"/>
      </w:numPr>
    </w:pPr>
  </w:style>
  <w:style w:type="paragraph" w:styleId="ListBullet3">
    <w:name w:val="List Bullet 3"/>
    <w:basedOn w:val="Normal"/>
    <w:autoRedefine/>
    <w:pPr>
      <w:numPr>
        <w:numId w:val="6"/>
      </w:numPr>
    </w:pPr>
  </w:style>
  <w:style w:type="paragraph" w:styleId="ListBullet4">
    <w:name w:val="List Bullet 4"/>
    <w:basedOn w:val="Normal"/>
    <w:autoRedefine/>
    <w:pPr>
      <w:numPr>
        <w:numId w:val="7"/>
      </w:numPr>
    </w:pPr>
  </w:style>
  <w:style w:type="paragraph" w:styleId="ListBullet5">
    <w:name w:val="List Bullet 5"/>
    <w:basedOn w:val="Normal"/>
    <w:autoRedefine/>
    <w:pPr>
      <w:numPr>
        <w:numId w:val="8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9"/>
      </w:numPr>
    </w:pPr>
  </w:style>
  <w:style w:type="paragraph" w:styleId="ListNumber2">
    <w:name w:val="List Number 2"/>
    <w:basedOn w:val="Normal"/>
    <w:pPr>
      <w:numPr>
        <w:numId w:val="10"/>
      </w:numPr>
    </w:pPr>
  </w:style>
  <w:style w:type="paragraph" w:styleId="ListNumber3">
    <w:name w:val="List Number 3"/>
    <w:basedOn w:val="Normal"/>
    <w:pPr>
      <w:numPr>
        <w:numId w:val="11"/>
      </w:numPr>
    </w:pPr>
  </w:style>
  <w:style w:type="paragraph" w:styleId="ListNumber4">
    <w:name w:val="List Number 4"/>
    <w:basedOn w:val="Normal"/>
    <w:pPr>
      <w:numPr>
        <w:numId w:val="12"/>
      </w:numPr>
    </w:pPr>
  </w:style>
  <w:style w:type="paragraph" w:styleId="ListNumber5">
    <w:name w:val="List Number 5"/>
    <w:basedOn w:val="Normal"/>
    <w:pPr>
      <w:numPr>
        <w:numId w:val="13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character" w:styleId="Strong">
    <w:name w:val="Strong"/>
    <w:qFormat/>
    <w:rPr>
      <w:b/>
      <w:bCs/>
    </w:rPr>
  </w:style>
  <w:style w:type="paragraph" w:customStyle="1" w:styleId="Textbubliny1">
    <w:name w:val="Text bubliny1"/>
    <w:basedOn w:val="Normal"/>
    <w:semiHidden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pPr>
      <w:spacing w:after="60" w:line="360" w:lineRule="auto"/>
      <w:jc w:val="both"/>
    </w:pPr>
    <w:rPr>
      <w:sz w:val="24"/>
      <w:szCs w:val="24"/>
    </w:rPr>
  </w:style>
  <w:style w:type="character" w:customStyle="1" w:styleId="TEXTChar">
    <w:name w:val="TEXT Char"/>
    <w:rPr>
      <w:sz w:val="24"/>
      <w:szCs w:val="24"/>
      <w:lang w:val="cs-CZ" w:eastAsia="en-US" w:bidi="ar-SA"/>
    </w:rPr>
  </w:style>
  <w:style w:type="character" w:customStyle="1" w:styleId="CharChar">
    <w:name w:val="Char Char"/>
    <w:rPr>
      <w:lang w:val="en-GB" w:eastAsia="en-US" w:bidi="ar-SA"/>
    </w:rPr>
  </w:style>
  <w:style w:type="character" w:styleId="CommentReference">
    <w:name w:val="annotation reference"/>
    <w:semiHidden/>
    <w:rPr>
      <w:sz w:val="16"/>
      <w:szCs w:val="16"/>
    </w:rPr>
  </w:style>
  <w:style w:type="paragraph" w:customStyle="1" w:styleId="Pedmtkomente1">
    <w:name w:val="Předmět komentáře1"/>
    <w:basedOn w:val="CommentText"/>
    <w:next w:val="CommentText"/>
    <w:semiHidden/>
    <w:rPr>
      <w:b/>
      <w:bCs/>
    </w:rPr>
  </w:style>
  <w:style w:type="paragraph" w:customStyle="1" w:styleId="Textbubliny3">
    <w:name w:val="Text bubliny3"/>
    <w:basedOn w:val="Normal"/>
    <w:semiHidden/>
    <w:rPr>
      <w:rFonts w:ascii="Tahoma" w:hAnsi="Tahoma" w:cs="Tahoma"/>
      <w:sz w:val="16"/>
      <w:szCs w:val="16"/>
    </w:rPr>
  </w:style>
  <w:style w:type="paragraph" w:customStyle="1" w:styleId="Pedmtkomente3">
    <w:name w:val="Předmět komentáře3"/>
    <w:basedOn w:val="CommentText"/>
    <w:next w:val="CommentText"/>
    <w:rPr>
      <w:b/>
      <w:bCs/>
    </w:rPr>
  </w:style>
  <w:style w:type="character" w:customStyle="1" w:styleId="CharChar1">
    <w:name w:val="Char Char1"/>
    <w:semiHidden/>
    <w:rPr>
      <w:lang w:val="en-GB" w:eastAsia="en-US"/>
    </w:rPr>
  </w:style>
  <w:style w:type="character" w:customStyle="1" w:styleId="PedmtkomenteChar">
    <w:name w:val="Předmět komentáře Char"/>
    <w:rPr>
      <w:lang w:val="en-GB" w:eastAsia="en-US"/>
    </w:rPr>
  </w:style>
  <w:style w:type="paragraph" w:customStyle="1" w:styleId="Textbubliny2">
    <w:name w:val="Text bubliny2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val="en-GB" w:eastAsia="en-US"/>
    </w:rPr>
  </w:style>
  <w:style w:type="paragraph" w:customStyle="1" w:styleId="Pedmtkomente2">
    <w:name w:val="Předmět komentáře2"/>
    <w:basedOn w:val="CommentText"/>
    <w:next w:val="CommentText"/>
    <w:semiHidden/>
    <w:unhideWhenUsed/>
    <w:rPr>
      <w:b/>
      <w:bCs/>
    </w:rPr>
  </w:style>
  <w:style w:type="character" w:customStyle="1" w:styleId="TextkomenteChar">
    <w:name w:val="Text komentáře Char"/>
    <w:semiHidden/>
    <w:rPr>
      <w:lang w:val="en-GB" w:eastAsia="en-US"/>
    </w:rPr>
  </w:style>
  <w:style w:type="character" w:customStyle="1" w:styleId="PedmtkomenteChar1">
    <w:name w:val="Předmět komentáře Char1"/>
    <w:rPr>
      <w:lang w:val="en-GB" w:eastAsia="en-US"/>
    </w:rPr>
  </w:style>
  <w:style w:type="paragraph" w:customStyle="1" w:styleId="Standardntext">
    <w:name w:val="Standardní text"/>
    <w:basedOn w:val="Normal"/>
    <w:pPr>
      <w:jc w:val="both"/>
    </w:pPr>
    <w:rPr>
      <w:noProof/>
      <w:sz w:val="24"/>
      <w:lang w:eastAsia="cs-CZ"/>
    </w:rPr>
  </w:style>
  <w:style w:type="paragraph" w:styleId="BalloonText">
    <w:name w:val="Balloon Text"/>
    <w:basedOn w:val="Normal"/>
    <w:semiHidden/>
    <w:rsid w:val="00977FBE"/>
    <w:rPr>
      <w:rFonts w:ascii="Tahoma" w:hAnsi="Tahoma" w:cs="Tahoma"/>
      <w:sz w:val="16"/>
      <w:szCs w:val="16"/>
    </w:rPr>
  </w:style>
  <w:style w:type="character" w:styleId="FootnoteReference">
    <w:name w:val="footnote reference"/>
    <w:aliases w:val="ftref,BVI fnr,Footnotes refss"/>
    <w:uiPriority w:val="99"/>
    <w:rsid w:val="00FC62EA"/>
    <w:rPr>
      <w:vertAlign w:val="superscript"/>
    </w:rPr>
  </w:style>
  <w:style w:type="character" w:customStyle="1" w:styleId="FootnoteTextChar">
    <w:name w:val="Footnote Text Char"/>
    <w:link w:val="FootnoteText"/>
    <w:uiPriority w:val="99"/>
    <w:semiHidden/>
    <w:rsid w:val="00FC62EA"/>
    <w:rPr>
      <w:lang w:val="en-GB" w:eastAsia="en-US"/>
    </w:rPr>
  </w:style>
  <w:style w:type="character" w:customStyle="1" w:styleId="longtext1">
    <w:name w:val="long_text1"/>
    <w:rsid w:val="00A511A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550BE"/>
    <w:rPr>
      <w:b/>
      <w:bCs/>
    </w:rPr>
  </w:style>
  <w:style w:type="paragraph" w:customStyle="1" w:styleId="2ndpage">
    <w:name w:val="2nd page"/>
    <w:aliases w:val="contact"/>
    <w:basedOn w:val="Normal"/>
    <w:rsid w:val="00E34C58"/>
    <w:pPr>
      <w:spacing w:after="40"/>
      <w:jc w:val="both"/>
    </w:pPr>
    <w:rPr>
      <w:rFonts w:ascii="Univers LT Std 45 Light" w:eastAsia="Batang" w:hAnsi="Univers LT Std 45 Light"/>
      <w:sz w:val="18"/>
      <w:szCs w:val="24"/>
      <w:lang w:val="en-US" w:eastAsia="ko-KR"/>
    </w:rPr>
  </w:style>
  <w:style w:type="character" w:customStyle="1" w:styleId="nowrap">
    <w:name w:val="nowrap"/>
    <w:rsid w:val="005C7603"/>
  </w:style>
  <w:style w:type="paragraph" w:customStyle="1" w:styleId="Revision1">
    <w:name w:val="Revision1"/>
    <w:hidden/>
    <w:uiPriority w:val="99"/>
    <w:semiHidden/>
    <w:rsid w:val="005C7603"/>
    <w:rPr>
      <w:lang w:val="en-GB" w:eastAsia="en-US"/>
    </w:rPr>
  </w:style>
  <w:style w:type="character" w:customStyle="1" w:styleId="st">
    <w:name w:val="st"/>
    <w:basedOn w:val="DefaultParagraphFont"/>
    <w:rsid w:val="00F25753"/>
  </w:style>
  <w:style w:type="character" w:customStyle="1" w:styleId="hps">
    <w:name w:val="hps"/>
    <w:basedOn w:val="DefaultParagraphFont"/>
    <w:rsid w:val="002142A6"/>
  </w:style>
  <w:style w:type="character" w:styleId="Emphasis">
    <w:name w:val="Emphasis"/>
    <w:qFormat/>
    <w:rsid w:val="002142A6"/>
    <w:rPr>
      <w:i/>
      <w:iCs/>
    </w:rPr>
  </w:style>
  <w:style w:type="paragraph" w:customStyle="1" w:styleId="ListParagraph1">
    <w:name w:val="List Paragraph1"/>
    <w:basedOn w:val="Normal"/>
    <w:uiPriority w:val="99"/>
    <w:qFormat/>
    <w:rsid w:val="00A84C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converted-space">
    <w:name w:val="apple-converted-space"/>
    <w:rsid w:val="00305348"/>
  </w:style>
  <w:style w:type="paragraph" w:customStyle="1" w:styleId="BodyText1">
    <w:name w:val="Body Text1"/>
    <w:basedOn w:val="BodyText"/>
    <w:rsid w:val="009829C2"/>
    <w:rPr>
      <w:rFonts w:ascii="Arial" w:hAnsi="Arial"/>
      <w:b w:val="0"/>
      <w:sz w:val="20"/>
      <w:lang w:val="en-GB" w:eastAsia="en-GB"/>
    </w:rPr>
  </w:style>
  <w:style w:type="character" w:customStyle="1" w:styleId="StyleArial9pt">
    <w:name w:val="Style Arial 9 pt"/>
    <w:rsid w:val="009829C2"/>
    <w:rPr>
      <w:rFonts w:ascii="Arial" w:hAnsi="Arial"/>
      <w:i/>
      <w:sz w:val="18"/>
    </w:rPr>
  </w:style>
  <w:style w:type="paragraph" w:customStyle="1" w:styleId="Headingbold10pt">
    <w:name w:val="Heading bold 10pt"/>
    <w:basedOn w:val="Normal"/>
    <w:qFormat/>
    <w:rsid w:val="009829C2"/>
    <w:rPr>
      <w:rFonts w:ascii="Arial" w:hAnsi="Arial"/>
      <w:b/>
      <w:szCs w:val="24"/>
      <w:lang w:val="en-US"/>
    </w:rPr>
  </w:style>
  <w:style w:type="paragraph" w:customStyle="1" w:styleId="Headingbold9pt">
    <w:name w:val="Heading bold 9pt"/>
    <w:basedOn w:val="Headingbold10pt"/>
    <w:qFormat/>
    <w:rsid w:val="009829C2"/>
    <w:rPr>
      <w:sz w:val="18"/>
    </w:rPr>
  </w:style>
  <w:style w:type="paragraph" w:customStyle="1" w:styleId="Bodytext9pt">
    <w:name w:val="Body text 9pt"/>
    <w:basedOn w:val="Normal"/>
    <w:qFormat/>
    <w:rsid w:val="009829C2"/>
    <w:rPr>
      <w:rFonts w:ascii="Arial" w:hAnsi="Arial"/>
      <w:sz w:val="18"/>
      <w:szCs w:val="18"/>
      <w:lang w:val="en-GB" w:eastAsia="en-GB"/>
    </w:rPr>
  </w:style>
  <w:style w:type="paragraph" w:customStyle="1" w:styleId="ColorfulList-Accent11">
    <w:name w:val="Colorful List - Accent 11"/>
    <w:basedOn w:val="Normal"/>
    <w:uiPriority w:val="34"/>
    <w:qFormat/>
    <w:rsid w:val="009829C2"/>
    <w:pPr>
      <w:ind w:left="720"/>
      <w:contextualSpacing/>
    </w:pPr>
    <w:rPr>
      <w:rFonts w:ascii="Univers Next for HSBC Light" w:hAnsi="Univers Next for HSBC Light"/>
      <w:sz w:val="24"/>
      <w:szCs w:val="24"/>
      <w:lang w:val="en-US"/>
    </w:rPr>
  </w:style>
  <w:style w:type="paragraph" w:customStyle="1" w:styleId="m273465258685640320msolistparagraph">
    <w:name w:val="m_273465258685640320msolistparagraph"/>
    <w:basedOn w:val="Normal"/>
    <w:rsid w:val="00B85F9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rsid w:val="006556D4"/>
    <w:rPr>
      <w:lang w:val="cs-CZ"/>
    </w:rPr>
  </w:style>
  <w:style w:type="paragraph" w:styleId="Revision">
    <w:name w:val="Revision"/>
    <w:hidden/>
    <w:uiPriority w:val="99"/>
    <w:semiHidden/>
    <w:rsid w:val="00466421"/>
    <w:rPr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F07C39"/>
    <w:rPr>
      <w:color w:val="605E5C"/>
      <w:shd w:val="clear" w:color="auto" w:fill="E1DFDD"/>
    </w:rPr>
  </w:style>
  <w:style w:type="table" w:styleId="TableGrid">
    <w:name w:val="Table Grid"/>
    <w:basedOn w:val="TableNormal"/>
    <w:rsid w:val="00450C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4D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9E603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C5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3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95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58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3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inik.jezek@havaspr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hsbc.com/who-we-are/our-businesses-and-customers/commercial-banking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27D27-AAC0-471B-A7F4-9107F0B7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2003</vt:lpstr>
    </vt:vector>
  </TitlesOfParts>
  <Company>TOSHIBA</Company>
  <LinksUpToDate>false</LinksUpToDate>
  <CharactersWithSpaces>6661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2003</dc:title>
  <dc:subject/>
  <dc:creator>Charlie Brett</dc:creator>
  <cp:keywords>PUBLIC -</cp:keywords>
  <dc:description>PUBLIC</dc:description>
  <cp:lastModifiedBy>Ivana Novakova</cp:lastModifiedBy>
  <cp:revision>10</cp:revision>
  <cp:lastPrinted>2018-06-06T15:10:00Z</cp:lastPrinted>
  <dcterms:created xsi:type="dcterms:W3CDTF">2020-11-30T12:31:00Z</dcterms:created>
  <dcterms:modified xsi:type="dcterms:W3CDTF">2020-12-01T13:28:00Z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PUBLIC</vt:lpwstr>
  </property>
  <property fmtid="{D5CDD505-2E9C-101B-9397-08002B2CF9AE}" pid="3" name="Source">
    <vt:lpwstr>Internal</vt:lpwstr>
  </property>
  <property fmtid="{D5CDD505-2E9C-101B-9397-08002B2CF9AE}" pid="4" name="Footers">
    <vt:lpwstr>No Footers</vt:lpwstr>
  </property>
  <property fmtid="{D5CDD505-2E9C-101B-9397-08002B2CF9AE}" pid="5" name="DocClassification">
    <vt:lpwstr>CLAPUBLIC</vt:lpwstr>
  </property>
</Properties>
</file>