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7021" w14:textId="217CAE5E" w:rsidR="00EE3D99" w:rsidRDefault="00EE3D99" w:rsidP="00D7695D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B2C7551" wp14:editId="7E976AF2">
            <wp:simplePos x="0" y="0"/>
            <wp:positionH relativeFrom="column">
              <wp:posOffset>-889000</wp:posOffset>
            </wp:positionH>
            <wp:positionV relativeFrom="paragraph">
              <wp:posOffset>-753593</wp:posOffset>
            </wp:positionV>
            <wp:extent cx="1429555" cy="87636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55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F0425" w14:textId="50A8DE38" w:rsidR="004943EB" w:rsidRDefault="00B5160D" w:rsidP="002A301C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B516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Předmýváním</w:t>
      </w:r>
      <w:proofErr w:type="spellEnd"/>
      <w:r w:rsidRPr="00B516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nádobí vyplýtvají Češi ročně vodu v objemu Černého jezera</w:t>
      </w:r>
    </w:p>
    <w:p w14:paraId="7961DF4F" w14:textId="77777777" w:rsidR="002A301C" w:rsidRPr="00FA2E45" w:rsidRDefault="002A301C" w:rsidP="002A301C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42F1BBDC" w14:textId="77777777" w:rsidR="00A23D50" w:rsidRPr="0020154A" w:rsidRDefault="00D7695D" w:rsidP="00A23D50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154A">
        <w:rPr>
          <w:color w:val="000000"/>
          <w:sz w:val="24"/>
          <w:szCs w:val="24"/>
        </w:rPr>
        <w:t xml:space="preserve">Praha </w:t>
      </w:r>
      <w:r w:rsidR="00336F95" w:rsidRPr="0020154A">
        <w:rPr>
          <w:color w:val="000000"/>
          <w:sz w:val="24"/>
          <w:szCs w:val="24"/>
        </w:rPr>
        <w:t>2</w:t>
      </w:r>
      <w:r w:rsidR="00B5160D" w:rsidRPr="0020154A">
        <w:rPr>
          <w:color w:val="000000"/>
          <w:sz w:val="24"/>
          <w:szCs w:val="24"/>
        </w:rPr>
        <w:t>1</w:t>
      </w:r>
      <w:r w:rsidRPr="0020154A">
        <w:rPr>
          <w:color w:val="000000"/>
          <w:sz w:val="24"/>
          <w:szCs w:val="24"/>
        </w:rPr>
        <w:t>.</w:t>
      </w:r>
      <w:r w:rsidR="00507939" w:rsidRPr="0020154A">
        <w:rPr>
          <w:color w:val="000000"/>
          <w:sz w:val="24"/>
          <w:szCs w:val="24"/>
        </w:rPr>
        <w:t xml:space="preserve"> </w:t>
      </w:r>
      <w:r w:rsidR="00B5160D" w:rsidRPr="0020154A">
        <w:rPr>
          <w:color w:val="000000"/>
          <w:sz w:val="24"/>
          <w:szCs w:val="24"/>
        </w:rPr>
        <w:t>dubna</w:t>
      </w:r>
      <w:r w:rsidRPr="0020154A">
        <w:rPr>
          <w:color w:val="000000"/>
          <w:sz w:val="24"/>
          <w:szCs w:val="24"/>
        </w:rPr>
        <w:t xml:space="preserve"> </w:t>
      </w:r>
      <w:r w:rsidR="00570A81" w:rsidRPr="0020154A">
        <w:rPr>
          <w:color w:val="000000"/>
          <w:sz w:val="24"/>
          <w:szCs w:val="24"/>
        </w:rPr>
        <w:t>–</w:t>
      </w:r>
      <w:r w:rsidRPr="00B5160D">
        <w:rPr>
          <w:b/>
          <w:bCs/>
          <w:color w:val="000000"/>
          <w:sz w:val="24"/>
          <w:szCs w:val="24"/>
        </w:rPr>
        <w:t xml:space="preserve"> </w:t>
      </w:r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 posledních letech naši krajinu trápí sucho a snižující se stavy podzemních vod. Na vině je i spotřeba domácností, které většinou čerpají vodu právě z podzemních zdrojů. Podle analýzy společnosti </w:t>
      </w:r>
      <w:proofErr w:type="spellStart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Ipsos</w:t>
      </w:r>
      <w:proofErr w:type="spellEnd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pro značku </w:t>
      </w:r>
      <w:proofErr w:type="spellStart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Finish</w:t>
      </w:r>
      <w:proofErr w:type="spellEnd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české domácnosti pouhým </w:t>
      </w:r>
      <w:proofErr w:type="spellStart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předmýváním</w:t>
      </w:r>
      <w:proofErr w:type="spellEnd"/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nádobí před vložením do myčky vyplýtvají celkově přes </w:t>
      </w:r>
      <w:r w:rsidR="00D04B5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tři</w:t>
      </w:r>
      <w:r w:rsidR="00B5160D"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miliardy litrů vody ročně, což je objem, který by naplnil největší přírodní jezero v České republice, Černé jezero. </w:t>
      </w:r>
    </w:p>
    <w:p w14:paraId="7E39F4EB" w14:textId="49BF1768" w:rsidR="00D7695D" w:rsidRPr="0020154A" w:rsidRDefault="00B5160D" w:rsidP="00A23D50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 rámci dlouhodobé iniciativy Voda pro českou krajinu proto Český svaz ochránců přírody společně se značkou </w:t>
      </w:r>
      <w:proofErr w:type="spellStart"/>
      <w:r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Finish</w:t>
      </w:r>
      <w:proofErr w:type="spellEnd"/>
      <w:r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tento rok kromě edukativních aktivit zrealizují i terénní práce zaměřené na zadržení vody v krajině horního Polabí u Hořiněvsi a v lokalitě V </w:t>
      </w:r>
      <w:proofErr w:type="spellStart"/>
      <w:r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Krejdách</w:t>
      </w:r>
      <w:proofErr w:type="spellEnd"/>
      <w:r w:rsidRPr="002015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 u Žďáru nad Sázavou. </w:t>
      </w:r>
    </w:p>
    <w:p w14:paraId="6105B225" w14:textId="34CA60D7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Velký vliv na naši spotřebu vody má už </w:t>
      </w:r>
      <w:r w:rsidR="0072066C"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samotné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pořízení myčky. Analýza provedená na reprezentativním vzorku českých domácností zjistila, že při používání myčky spotřebujeme během jednoho mycího cyklu v průměru 9,5 litr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vody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je devětkrát méně, než kdybychom stejné množství nádobí myli v ruce (88 litrů)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2901F05" w14:textId="4A556C39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Další oblastí, kde často plýtváme vodou, je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předmývání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nádobí. </w:t>
      </w:r>
      <w:r w:rsidRPr="00B516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„Více než polovina Čechů </w:t>
      </w:r>
      <w:proofErr w:type="spellStart"/>
      <w:r w:rsidRPr="00B516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předmývá</w:t>
      </w:r>
      <w:proofErr w:type="spellEnd"/>
      <w:r w:rsidRPr="00B516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nádobí předtím, než ho vloží do myčky. Průměrná domácnost tímto způsobem spotřebuje až 57 litrů vody týdně. U těchto domácností jde pak celkově o více než </w:t>
      </w:r>
      <w:r w:rsidR="00D04B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tři</w:t>
      </w:r>
      <w:r w:rsidRPr="00B516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miliardy litrů ročně – to je množství vody, kterým byste naplnili největší přírodní jezero v České republice, Černé jezero. A toto množství zbytečně odebíráme z vodního koloběhu naší přírody,“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říká Lukáš Klimek,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category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manager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společnosti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Reckitt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 Českou republiku a Slovensko.</w:t>
      </w:r>
    </w:p>
    <w:p w14:paraId="5E02CAAC" w14:textId="77777777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Méně vody v přírodě</w:t>
      </w:r>
    </w:p>
    <w:p w14:paraId="2C2609BE" w14:textId="7E9DDA20" w:rsidR="00B5160D" w:rsidRPr="001C367E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Právě voda, kterou 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doma spotřebováváme, pochází většinou z podzemních zdrojů. Po zužitkování se pak dostává přes čističky odpadních vod do řek, které ji odnášejí do Severního, Baltského nebo Černého moře. Podle posledních 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>práv o stavu vodního hospodářství České republiky Ministerstva zemědělství a dat Českého hydrometeorologického ústavu se zásoby spodních vod mezi lety 2010 a 2019 snížily více než o polovinu z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>590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>milionů m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3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> na 789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milionů. </w:t>
      </w:r>
    </w:p>
    <w:p w14:paraId="4A508F05" w14:textId="4B0D61C2" w:rsidR="00B5160D" w:rsidRPr="00474627" w:rsidRDefault="00B5160D" w:rsidP="00B5160D">
      <w:pPr>
        <w:spacing w:line="276" w:lineRule="auto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</w:pPr>
      <w:r w:rsidRPr="001C3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Problém prohlubuje i úbytek tůní či mokřadů, tedy ploch, které by zadržely vodu v přírodě. </w:t>
      </w:r>
      <w:r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>„Za posledních několik desetiletí nám z české krajiny zmizelo téměř 10 000 km</w:t>
      </w:r>
      <w:r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vertAlign w:val="superscript"/>
          <w:lang w:eastAsia="en-GB"/>
        </w:rPr>
        <w:t>2</w:t>
      </w:r>
      <w:r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> mokřadů a vodní toky se zkrátily o téměř 5 000 kilometrů. </w:t>
      </w:r>
      <w:r w:rsidR="00474627"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 xml:space="preserve">To znamená jediné – voda, která v naší krajině naprší, rychle zmizí. Její odtok se na povrchu nemá kde zastavit, popřípadě zpomalit. </w:t>
      </w:r>
      <w:r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 xml:space="preserve">I to se podílí na dlouhodobém problému sucha v naší zemi. Proto bychom se měli snažit obnovit místa, kde se </w:t>
      </w:r>
      <w:r w:rsidRPr="001C367E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lastRenderedPageBreak/>
        <w:t>voda v přírodě může zadržovat a následně během období sucha uvolňovat,“ </w:t>
      </w:r>
      <w:r w:rsidRPr="001C367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vysvětluje Petr Stýblo, ředitel Českého svazu ochránců přírody.</w:t>
      </w:r>
    </w:p>
    <w:p w14:paraId="0F8B9A39" w14:textId="77777777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Lidé by přivítali více informací a vzdělávání</w:t>
      </w:r>
    </w:p>
    <w:p w14:paraId="79A8234B" w14:textId="4080336B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Povědomí Čechů o problému sucha dokazuje i nový průzkum agentury STEM/MARK, z něhož vyplynulo, že pouze 8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% Čechů nepovažuje téma sucha a šetření vody za zásadní problém. S přibývajícím věkem zájem o toto téma narůstá. Zatímco jen 35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% Čechů ve věku 18–29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let se o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téma aktivně zajímá a snaží se šetřit vodou, u generace starší 60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let je to už 59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%.</w:t>
      </w:r>
    </w:p>
    <w:p w14:paraId="425EE2FE" w14:textId="11416C56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Podle průzkumu by lidé přivítali více informací a vzdělávání. Pouhá třetina respondentů považuje množství informací o hrozbě sucha v České republice za dostatečné a 77</w:t>
      </w:r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% by se rádo dozvědělo více. Ekologické vzdělávání v oblasti sucha a šetření s vodou je na tom podle Čechů ještě hůře. Jen každý šestý ho považuje za dostatečné.</w:t>
      </w:r>
    </w:p>
    <w:p w14:paraId="5BF87245" w14:textId="45021240" w:rsidR="00971CDB" w:rsidRDefault="006829CA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Proto ve spolupráci Ministerstva životního prostředí, V</w:t>
      </w:r>
      <w:r w:rsidR="00971CDB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Ú</w:t>
      </w:r>
      <w:r w:rsidRPr="00BE16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TGM, ÚVGZ, ČHMÚ a ČZU vzniká systém HAMR, </w:t>
      </w:r>
      <w:r w:rsidR="00FF19B2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který shromažďuje a poskytuje data od roku 1981</w:t>
      </w:r>
      <w:r w:rsidR="000E7FFA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. J</w:t>
      </w:r>
      <w:r w:rsidR="00FF19B2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eho ambicí je poskytovat dlouhodobou predikci vodních zdrojů na území ČR</w:t>
      </w:r>
      <w:r w:rsidR="000E7FFA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971CDB" w:rsidRPr="00BE165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„</w:t>
      </w:r>
      <w:r w:rsidR="000E7FFA" w:rsidRPr="00BE165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Samotný název HAMR v sobě ukrývá jednotlivé typy sucha, které hodnotí. Jedná se o sucho hydrologické, agronomické, meteorologické a retence</w:t>
      </w:r>
      <w:r w:rsidR="00971CDB" w:rsidRPr="00BE165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,“ </w:t>
      </w:r>
      <w:r w:rsidR="00971CDB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vysvětluje Adam </w:t>
      </w:r>
      <w:proofErr w:type="spellStart"/>
      <w:r w:rsidR="00971CDB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Vizina</w:t>
      </w:r>
      <w:proofErr w:type="spellEnd"/>
      <w:r w:rsidR="0072066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971CDB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vedoucí oddělení hydrologie ve Výzkumném ústavu vodohospodářském T. G. Masaryka.</w:t>
      </w:r>
    </w:p>
    <w:p w14:paraId="4861D1C9" w14:textId="211B6010" w:rsidR="00A23D50" w:rsidRPr="00A23D50" w:rsidRDefault="00BD0FD8" w:rsidP="00B5160D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Nenechme se ukolébat</w:t>
      </w:r>
    </w:p>
    <w:p w14:paraId="53B58A41" w14:textId="724C36CB" w:rsidR="00A23D50" w:rsidRPr="00A23D50" w:rsidRDefault="00971CDB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Podle dat projektu HAMR je s</w:t>
      </w:r>
      <w:r w:rsidR="005E192B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oučasná situace oproti minulým rokům výrazně příznivější</w:t>
      </w:r>
      <w:r w:rsidR="008D7A74">
        <w:rPr>
          <w:rFonts w:ascii="Calibri" w:eastAsia="Calibri" w:hAnsi="Calibri" w:cs="Calibri"/>
          <w:color w:val="000000" w:themeColor="text1"/>
          <w:sz w:val="24"/>
          <w:szCs w:val="24"/>
        </w:rPr>
        <w:t>. Ta dlouhodobá ale nabízí jiný pohled.</w:t>
      </w:r>
      <w:r w:rsidR="00491DD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„</w:t>
      </w:r>
      <w:r w:rsidR="00491DD2" w:rsidRPr="00491DD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 když naše statistická predikce na začátek léta ukazuje, že by v této době nemělo dojít k výraznému zaklesávání vodních toků, neměli bychom usnout na vavřínech. Za posledních sedm let se Česká republika potýká se suchem, které je jedním z největších v historii. Dle posledních studií hraje významný vliv nárůst teplot, který mění vodní režim krajiny. Z tohoto pohledu lze očekávat sníženou dostupnost vody v krajině i v následujících letech i při normálových srážkových úhrnech, a to zřejmě i ve větším měřítku. Dalším aspektem je fakt, že se sucho v rámci České republiky vyskytuje i v dalších oblastech kromě notoricky známé jižní Moravy a Rakovnicka,</w:t>
      </w:r>
      <w:r w:rsidR="00491DD2" w:rsidRPr="00491DD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</w:t>
      </w:r>
      <w:r w:rsidR="008D7A7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8D7A74">
        <w:rPr>
          <w:rFonts w:ascii="Calibri" w:eastAsia="Calibri" w:hAnsi="Calibri" w:cs="Calibri"/>
          <w:color w:val="000000" w:themeColor="text1"/>
          <w:sz w:val="24"/>
          <w:szCs w:val="24"/>
        </w:rPr>
        <w:t>upozor</w:t>
      </w:r>
      <w:r w:rsidR="00CB099E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ňuje </w:t>
      </w:r>
      <w:proofErr w:type="spellStart"/>
      <w:r w:rsidR="00CB099E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Vizina</w:t>
      </w:r>
      <w:proofErr w:type="spellEnd"/>
      <w:r w:rsidR="00CB099E" w:rsidRPr="00BE165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F97C162" w14:textId="350BB869" w:rsidR="00B5160D" w:rsidRPr="00B5160D" w:rsidRDefault="00B5160D" w:rsidP="00B5160D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V rámci boje proti suchu proto Český svaz ochránců přírody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ve spolupráci se značkou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Finish</w:t>
      </w:r>
      <w:proofErr w:type="spellEnd"/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zahájil v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České republice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dlouhodobou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iniciativu s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názvem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Voda pro českou krajinu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. Jejím cílem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je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revitalizace české krajiny, která přispěje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zadržování vody v půdě, a edukace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veřejnosti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zaměřená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na snižování spotřeby vody v domácnostech. </w:t>
      </w:r>
    </w:p>
    <w:p w14:paraId="4E4857D7" w14:textId="353671A7" w:rsidR="00B5160D" w:rsidRPr="00474627" w:rsidRDefault="00B5160D" w:rsidP="00491DD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74627">
        <w:rPr>
          <w:rFonts w:ascii="Calibri" w:eastAsia="Calibri" w:hAnsi="Calibri" w:cs="Calibri"/>
          <w:color w:val="000000" w:themeColor="text1"/>
          <w:sz w:val="24"/>
          <w:szCs w:val="24"/>
        </w:rPr>
        <w:t>Tento rok se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474627">
        <w:rPr>
          <w:rFonts w:ascii="Calibri" w:eastAsia="Calibri" w:hAnsi="Calibri" w:cs="Calibri"/>
          <w:color w:val="000000" w:themeColor="text1"/>
          <w:sz w:val="24"/>
          <w:szCs w:val="24"/>
        </w:rPr>
        <w:t>v rámci projektu</w:t>
      </w:r>
      <w:r w:rsidR="00474627" w:rsidRPr="004746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kromě jiných aktivit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zrealizují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terénní práce v krajině horního Polabí u Hořiněvsi a v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lokalitě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V 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Krejdách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 u Žďáru nad Sázavou.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Příroda na obou místech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utrpěla buď vlivem intenzivního zemědělského využívání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nebo dlouhodobou zanedbaností. Předmětem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finanční podpory těchto projektů je vybudování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mělkých členitých tůní,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které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pomohou lépe zadržovat vodu v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krajině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zpomalit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její odtok z České republiky.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létě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se v rámci spolupráce zapojí do údržby vybraných vodních ploch i zaměstnanci</w:t>
      </w:r>
      <w:r w:rsidR="000E5A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společnosti </w:t>
      </w:r>
      <w:proofErr w:type="spellStart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Reckitt</w:t>
      </w:r>
      <w:proofErr w:type="spellEnd"/>
      <w:r w:rsidRPr="00B5160D">
        <w:rPr>
          <w:rFonts w:ascii="Calibri" w:eastAsia="Calibri" w:hAnsi="Calibri" w:cs="Calibri"/>
          <w:color w:val="000000" w:themeColor="text1"/>
          <w:sz w:val="24"/>
          <w:szCs w:val="24"/>
        </w:rPr>
        <w:t>. </w:t>
      </w:r>
    </w:p>
    <w:p w14:paraId="3D177593" w14:textId="48066F6E" w:rsidR="00EE3D99" w:rsidRDefault="00EE3D99" w:rsidP="00D7695D">
      <w:pPr>
        <w:pBdr>
          <w:bottom w:val="single" w:sz="12" w:space="1" w:color="auto"/>
        </w:pBd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</w:p>
    <w:p w14:paraId="5264983A" w14:textId="77777777" w:rsidR="00EE3D99" w:rsidRPr="00EE3D99" w:rsidRDefault="00EE3D99" w:rsidP="00EE3D99">
      <w:pPr>
        <w:pStyle w:val="Headingbold10pt"/>
        <w:rPr>
          <w:rFonts w:ascii="Calibri" w:hAnsi="Calibri" w:cs="Calibri"/>
          <w:szCs w:val="20"/>
          <w:lang w:val="cs-CZ"/>
        </w:rPr>
      </w:pPr>
      <w:r w:rsidRPr="00EE3D99">
        <w:rPr>
          <w:rFonts w:ascii="Calibri" w:hAnsi="Calibri" w:cs="Calibri"/>
          <w:szCs w:val="20"/>
          <w:lang w:val="cs-CZ"/>
        </w:rPr>
        <w:t>Kontakt pro média:</w:t>
      </w:r>
    </w:p>
    <w:p w14:paraId="7830C322" w14:textId="77777777" w:rsidR="00EE3D99" w:rsidRPr="00EE3D99" w:rsidRDefault="00EE3D99" w:rsidP="00EE3D99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EE3D99">
        <w:rPr>
          <w:rFonts w:ascii="Calibri" w:hAnsi="Calibri" w:cs="Calibri"/>
          <w:sz w:val="20"/>
          <w:szCs w:val="20"/>
          <w:lang w:val="cs-CZ"/>
        </w:rPr>
        <w:tab/>
      </w:r>
      <w:r w:rsidRPr="00EE3D99">
        <w:rPr>
          <w:rFonts w:ascii="Calibri" w:hAnsi="Calibri" w:cs="Calibri"/>
          <w:sz w:val="20"/>
          <w:szCs w:val="20"/>
          <w:lang w:val="cs-CZ"/>
        </w:rPr>
        <w:tab/>
      </w:r>
    </w:p>
    <w:p w14:paraId="01BAD5EF" w14:textId="77777777" w:rsidR="00EE3D99" w:rsidRPr="00EE3D99" w:rsidRDefault="00EE3D99" w:rsidP="00EE3D99">
      <w:pPr>
        <w:pStyle w:val="Bodytext9pt"/>
        <w:tabs>
          <w:tab w:val="left" w:pos="3402"/>
          <w:tab w:val="left" w:pos="6946"/>
        </w:tabs>
        <w:jc w:val="both"/>
        <w:rPr>
          <w:rFonts w:ascii="Calibri" w:hAnsi="Calibri" w:cs="Calibri"/>
          <w:sz w:val="20"/>
          <w:szCs w:val="20"/>
          <w:lang w:val="cs-CZ"/>
        </w:rPr>
      </w:pPr>
      <w:r w:rsidRPr="00EE3D99">
        <w:rPr>
          <w:rFonts w:ascii="Calibri" w:hAnsi="Calibri" w:cs="Calibri"/>
          <w:sz w:val="20"/>
          <w:szCs w:val="20"/>
          <w:lang w:val="cs-CZ"/>
        </w:rPr>
        <w:t>Dominik Ježek</w:t>
      </w:r>
      <w:r w:rsidRPr="00EE3D9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EE3D99">
        <w:rPr>
          <w:rFonts w:ascii="Calibri" w:hAnsi="Calibri" w:cs="Calibri"/>
          <w:sz w:val="20"/>
          <w:szCs w:val="20"/>
          <w:lang w:val="cs-CZ"/>
        </w:rPr>
        <w:tab/>
      </w:r>
      <w:hyperlink r:id="rId9" w:history="1">
        <w:r w:rsidRPr="00EE3D9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36E90155" w14:textId="314F4CC8" w:rsidR="00EE3D99" w:rsidRDefault="00EE3D99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7D77342D" w14:textId="50606EFA" w:rsidR="00B5160D" w:rsidRDefault="00B5160D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 VÚV TGM</w:t>
      </w:r>
    </w:p>
    <w:p w14:paraId="4100C492" w14:textId="583D8F4E" w:rsidR="00B5160D" w:rsidRPr="006A4349" w:rsidRDefault="00B5160D" w:rsidP="00B5160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Výzkumný ústav vodohospodářský T. G. Masaryka, veřejná výzkumná instituce, byl zřízen jako jeden z prvních vědeckých ústavů v samostatné republice Čechů a Slováků. Ústav byl založen jako Státní ústav hydrologický usnesením ministerské rady z 19. prosince 1919.</w:t>
      </w:r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Zázemí ústavu se nachází na</w:t>
      </w:r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třech pracovištích, a to na</w:t>
      </w:r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hyperlink r:id="rId10" w:anchor="praha" w:history="1">
        <w:r w:rsidRPr="00491DD2">
          <w:rPr>
            <w:color w:val="000000"/>
            <w:sz w:val="20"/>
            <w:szCs w:val="20"/>
            <w:lang w:eastAsia="cs-CZ"/>
          </w:rPr>
          <w:t>pražském</w:t>
        </w:r>
      </w:hyperlink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pracovišti, které je zároveň sídlem veřejné výzkumné instituce, a na</w:t>
      </w:r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pobočkách</w:t>
      </w:r>
      <w:r w:rsidRP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 </w:t>
      </w:r>
      <w:hyperlink r:id="rId11" w:anchor="brno" w:history="1">
        <w:r w:rsidRPr="00491DD2">
          <w:rPr>
            <w:color w:val="000000"/>
            <w:sz w:val="20"/>
            <w:szCs w:val="20"/>
            <w:lang w:eastAsia="cs-CZ"/>
          </w:rPr>
          <w:t>Brně</w:t>
        </w:r>
      </w:hyperlink>
      <w:r w:rsidRP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a v </w:t>
      </w:r>
      <w:hyperlink r:id="rId12" w:anchor="ostrava" w:history="1">
        <w:r w:rsidRPr="00491DD2">
          <w:rPr>
            <w:color w:val="000000"/>
            <w:sz w:val="20"/>
            <w:szCs w:val="20"/>
            <w:lang w:eastAsia="cs-CZ"/>
          </w:rPr>
          <w:t>Ostravě</w:t>
        </w:r>
      </w:hyperlink>
      <w:r w:rsidRP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Od</w:t>
      </w:r>
      <w:r w:rsidRPr="00B516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bornou činnost ústavu na těchto pracovištích zajišťuje sed</w:t>
      </w:r>
      <w:r w:rsidRPr="006A4349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 </w:t>
      </w:r>
      <w:hyperlink r:id="rId13" w:history="1">
        <w:r w:rsidRPr="00491DD2">
          <w:rPr>
            <w:color w:val="000000"/>
            <w:sz w:val="20"/>
            <w:szCs w:val="20"/>
            <w:lang w:eastAsia="cs-CZ"/>
          </w:rPr>
          <w:t>výzkumných odborů</w:t>
        </w:r>
      </w:hyperlink>
      <w:r w:rsidRPr="006A4349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1E8E5174" w14:textId="77777777" w:rsidR="00B5160D" w:rsidRDefault="00B5160D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14:paraId="4A4162A8" w14:textId="6161BC07" w:rsidR="00EF7571" w:rsidRPr="00EF7571" w:rsidRDefault="00EF7571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EF75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 ČSOP</w:t>
      </w:r>
    </w:p>
    <w:p w14:paraId="01873E0B" w14:textId="5964BBB3" w:rsidR="00EF7571" w:rsidRPr="00EF7571" w:rsidRDefault="00EF7571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svaz ochránců přírody (ČSOP) je zapsaný spolek, jehož členy spojuje aktivní zájem o ochranu přírody a</w:t>
      </w:r>
      <w:r w:rsidR="00E95AA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krajiny.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Jeho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posláním je ochrana a obnova přírodního dědictví, ekologická výchova a podpora trvale udržitelného života. V současné době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čítá na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7</w:t>
      </w:r>
      <w:r w:rsidR="000E5A1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000 členů, mezi 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ě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ž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se řadí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profesionální odborní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zkušen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í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dobrovolní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i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nadšenci z řad široké veřejnosti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ČSOP byl založen na podzim roku 1979.</w:t>
      </w:r>
    </w:p>
    <w:p w14:paraId="4E13B6DD" w14:textId="77777777" w:rsidR="00EF7571" w:rsidRPr="00EE3D99" w:rsidRDefault="00EF7571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79371EC5" w14:textId="77777777" w:rsidR="00336F95" w:rsidRPr="00FB4042" w:rsidRDefault="00336F95" w:rsidP="00336F9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FB404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O značce </w:t>
      </w:r>
      <w:proofErr w:type="spellStart"/>
      <w:r w:rsidRPr="00FB404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Finish</w:t>
      </w:r>
      <w:proofErr w:type="spellEnd"/>
    </w:p>
    <w:p w14:paraId="52A469AB" w14:textId="3FAF07DC" w:rsidR="00336F95" w:rsidRPr="00FB4042" w:rsidRDefault="00336F95" w:rsidP="00336F9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je předním světovým výrobcem produktů pro myčku nádobí, které doporučují hlavní výrobci myček nádobí, jako jsou Bosch, Siemens,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Beko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Gorenje, Mora, Neff či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Gaggenau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Značka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nabízí kompletní řešení pro perfektní výsledky mytí nádobí. V jejím portfoliu najde zákazník řadu kvalitních mycích prostředků různých formát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ů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i velikost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í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širokou nabídku aditiv pro ještě lepší výsledky mytí nádobí a péči o myčku. V minulých letech značka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výrazně přispěla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 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rozšíření myček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nádobí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do domácností a investovala do digitálních a televizních kampaní, aby tento trend posílila a pomohla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lidem spotřebovávat méně vody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která tak zůstává v naší přírodě. </w:t>
      </w:r>
    </w:p>
    <w:p w14:paraId="77D3F774" w14:textId="77777777" w:rsidR="00D95DE4" w:rsidRPr="00EF7571" w:rsidRDefault="00D95DE4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36D80F8B" w14:textId="3B63751C" w:rsidR="00EF7571" w:rsidRPr="00EF7571" w:rsidRDefault="00EF7571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cs-CZ"/>
        </w:rPr>
      </w:pPr>
    </w:p>
    <w:p w14:paraId="1FAA29B1" w14:textId="0ABE0525" w:rsidR="00EE3D99" w:rsidRPr="00EF7571" w:rsidRDefault="00EE3D99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cs-CZ"/>
        </w:rPr>
      </w:pPr>
    </w:p>
    <w:sectPr w:rsidR="00EE3D99" w:rsidRPr="00EF7571" w:rsidSect="002C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6A32" w14:textId="77777777" w:rsidR="004D2DF7" w:rsidRDefault="004D2DF7" w:rsidP="00D7695D">
      <w:pPr>
        <w:spacing w:after="0" w:line="240" w:lineRule="auto"/>
      </w:pPr>
      <w:r>
        <w:separator/>
      </w:r>
    </w:p>
  </w:endnote>
  <w:endnote w:type="continuationSeparator" w:id="0">
    <w:p w14:paraId="58E03CC5" w14:textId="77777777" w:rsidR="004D2DF7" w:rsidRDefault="004D2DF7" w:rsidP="00D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69A6" w14:textId="77777777" w:rsidR="004D2DF7" w:rsidRDefault="004D2DF7" w:rsidP="00D7695D">
      <w:pPr>
        <w:spacing w:after="0" w:line="240" w:lineRule="auto"/>
      </w:pPr>
      <w:r>
        <w:separator/>
      </w:r>
    </w:p>
  </w:footnote>
  <w:footnote w:type="continuationSeparator" w:id="0">
    <w:p w14:paraId="22954200" w14:textId="77777777" w:rsidR="004D2DF7" w:rsidRDefault="004D2DF7" w:rsidP="00D7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A15"/>
    <w:multiLevelType w:val="hybridMultilevel"/>
    <w:tmpl w:val="3FA85FAA"/>
    <w:lvl w:ilvl="0" w:tplc="0054F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77F"/>
    <w:multiLevelType w:val="hybridMultilevel"/>
    <w:tmpl w:val="3250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E4D92"/>
    <w:multiLevelType w:val="multilevel"/>
    <w:tmpl w:val="43DA7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5D"/>
    <w:rsid w:val="000E1F94"/>
    <w:rsid w:val="000E5A15"/>
    <w:rsid w:val="000E6800"/>
    <w:rsid w:val="000E7FFA"/>
    <w:rsid w:val="001111F6"/>
    <w:rsid w:val="001526C7"/>
    <w:rsid w:val="001554DA"/>
    <w:rsid w:val="00161FF6"/>
    <w:rsid w:val="00167EF2"/>
    <w:rsid w:val="001C367E"/>
    <w:rsid w:val="0020154A"/>
    <w:rsid w:val="00254969"/>
    <w:rsid w:val="00255186"/>
    <w:rsid w:val="00260BAC"/>
    <w:rsid w:val="00261BE5"/>
    <w:rsid w:val="00265C60"/>
    <w:rsid w:val="002A2AB4"/>
    <w:rsid w:val="002A301C"/>
    <w:rsid w:val="002A34DF"/>
    <w:rsid w:val="002C2753"/>
    <w:rsid w:val="002C7A0F"/>
    <w:rsid w:val="00311896"/>
    <w:rsid w:val="00327700"/>
    <w:rsid w:val="00336F95"/>
    <w:rsid w:val="0035188A"/>
    <w:rsid w:val="0038446A"/>
    <w:rsid w:val="00390331"/>
    <w:rsid w:val="003B3821"/>
    <w:rsid w:val="003F399D"/>
    <w:rsid w:val="00474627"/>
    <w:rsid w:val="00491DD2"/>
    <w:rsid w:val="004943EB"/>
    <w:rsid w:val="004A509C"/>
    <w:rsid w:val="004A7579"/>
    <w:rsid w:val="004B6D17"/>
    <w:rsid w:val="004D2DF7"/>
    <w:rsid w:val="00507939"/>
    <w:rsid w:val="00556F37"/>
    <w:rsid w:val="0056154F"/>
    <w:rsid w:val="00570A81"/>
    <w:rsid w:val="0057540C"/>
    <w:rsid w:val="00576E91"/>
    <w:rsid w:val="005A3382"/>
    <w:rsid w:val="005E192B"/>
    <w:rsid w:val="005E3F04"/>
    <w:rsid w:val="005E5F2C"/>
    <w:rsid w:val="005F59AE"/>
    <w:rsid w:val="00641B31"/>
    <w:rsid w:val="006829CA"/>
    <w:rsid w:val="006A1794"/>
    <w:rsid w:val="006A4349"/>
    <w:rsid w:val="006B5965"/>
    <w:rsid w:val="006C60A3"/>
    <w:rsid w:val="006E4BED"/>
    <w:rsid w:val="00715CFC"/>
    <w:rsid w:val="0072066C"/>
    <w:rsid w:val="0077323C"/>
    <w:rsid w:val="007C7241"/>
    <w:rsid w:val="007D05D5"/>
    <w:rsid w:val="007E28B6"/>
    <w:rsid w:val="00832AF5"/>
    <w:rsid w:val="008400F1"/>
    <w:rsid w:val="00853773"/>
    <w:rsid w:val="00876DD7"/>
    <w:rsid w:val="008D629D"/>
    <w:rsid w:val="008D7A74"/>
    <w:rsid w:val="0093519E"/>
    <w:rsid w:val="00936757"/>
    <w:rsid w:val="00955CF7"/>
    <w:rsid w:val="00970E2F"/>
    <w:rsid w:val="00971CDB"/>
    <w:rsid w:val="0097244E"/>
    <w:rsid w:val="009732D9"/>
    <w:rsid w:val="009A2F6E"/>
    <w:rsid w:val="00A05C94"/>
    <w:rsid w:val="00A12325"/>
    <w:rsid w:val="00A23D50"/>
    <w:rsid w:val="00A64A9E"/>
    <w:rsid w:val="00AE3849"/>
    <w:rsid w:val="00AF563D"/>
    <w:rsid w:val="00B27C88"/>
    <w:rsid w:val="00B5160D"/>
    <w:rsid w:val="00B80B94"/>
    <w:rsid w:val="00B864DF"/>
    <w:rsid w:val="00BC2716"/>
    <w:rsid w:val="00BD0FD8"/>
    <w:rsid w:val="00BE1658"/>
    <w:rsid w:val="00BF1B91"/>
    <w:rsid w:val="00C13CF5"/>
    <w:rsid w:val="00C2187A"/>
    <w:rsid w:val="00C21A6F"/>
    <w:rsid w:val="00C267B2"/>
    <w:rsid w:val="00C36331"/>
    <w:rsid w:val="00C40B04"/>
    <w:rsid w:val="00C554AD"/>
    <w:rsid w:val="00C57B30"/>
    <w:rsid w:val="00C67EE2"/>
    <w:rsid w:val="00C85ACD"/>
    <w:rsid w:val="00CB099E"/>
    <w:rsid w:val="00CC6957"/>
    <w:rsid w:val="00CD70F1"/>
    <w:rsid w:val="00CF3A72"/>
    <w:rsid w:val="00D04B5D"/>
    <w:rsid w:val="00D7695D"/>
    <w:rsid w:val="00D95DE4"/>
    <w:rsid w:val="00DA3215"/>
    <w:rsid w:val="00DA468A"/>
    <w:rsid w:val="00DB32CC"/>
    <w:rsid w:val="00E128C3"/>
    <w:rsid w:val="00E221BE"/>
    <w:rsid w:val="00E52759"/>
    <w:rsid w:val="00E76B3B"/>
    <w:rsid w:val="00E95AAA"/>
    <w:rsid w:val="00EE2178"/>
    <w:rsid w:val="00EE3D99"/>
    <w:rsid w:val="00EF7571"/>
    <w:rsid w:val="00F24F51"/>
    <w:rsid w:val="00FA2E45"/>
    <w:rsid w:val="00FE3E59"/>
    <w:rsid w:val="00FE682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428C6F"/>
  <w15:chartTrackingRefBased/>
  <w15:docId w15:val="{88DAC0CA-5772-4DBD-A01F-33A654B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</w:style>
  <w:style w:type="paragraph" w:styleId="Heading1">
    <w:name w:val="heading 1"/>
    <w:basedOn w:val="Normal"/>
    <w:next w:val="Normal"/>
    <w:link w:val="Heading1Char"/>
    <w:uiPriority w:val="9"/>
    <w:qFormat/>
    <w:rsid w:val="00B8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E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A9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6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65C60"/>
    <w:pPr>
      <w:spacing w:after="0" w:line="240" w:lineRule="auto"/>
    </w:pPr>
  </w:style>
  <w:style w:type="paragraph" w:customStyle="1" w:styleId="Headingbold10pt">
    <w:name w:val="Heading bold 10pt"/>
    <w:basedOn w:val="Normal"/>
    <w:qFormat/>
    <w:rsid w:val="00EE3D99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Bodytext9pt">
    <w:name w:val="Body text 9pt"/>
    <w:basedOn w:val="Normal"/>
    <w:qFormat/>
    <w:rsid w:val="00EE3D99"/>
    <w:pPr>
      <w:spacing w:after="0" w:line="240" w:lineRule="auto"/>
    </w:pPr>
    <w:rPr>
      <w:rFonts w:ascii="Arial" w:eastAsia="Times New Roman" w:hAnsi="Arial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99"/>
  </w:style>
  <w:style w:type="paragraph" w:styleId="Footer">
    <w:name w:val="footer"/>
    <w:basedOn w:val="Normal"/>
    <w:link w:val="FooterChar"/>
    <w:uiPriority w:val="99"/>
    <w:unhideWhenUsed/>
    <w:rsid w:val="00EE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uv.cz/index.php/cz/vyzkumne-od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v.cz/index.php/cz/kont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v.cz/index.php/cz/kontak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uv.cz/index.php/cz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inik.jezek@havas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D81D6-EC5E-40DB-B12E-696C9404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Novakova</dc:creator>
  <cp:keywords/>
  <dc:description/>
  <cp:lastModifiedBy>Dominik Jezek</cp:lastModifiedBy>
  <cp:revision>4</cp:revision>
  <dcterms:created xsi:type="dcterms:W3CDTF">2021-04-15T14:30:00Z</dcterms:created>
  <dcterms:modified xsi:type="dcterms:W3CDTF">2021-04-15T14:35:00Z</dcterms:modified>
</cp:coreProperties>
</file>