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681E" w14:textId="77777777" w:rsidR="00AB515D" w:rsidRPr="00515A39" w:rsidRDefault="00AB515D" w:rsidP="004E1D63">
      <w:pPr>
        <w:rPr>
          <w:rFonts w:ascii="Calibri" w:hAnsi="Calibri" w:cs="Calibri"/>
          <w:b/>
          <w:sz w:val="24"/>
        </w:rPr>
      </w:pPr>
    </w:p>
    <w:p w14:paraId="5BE242C6" w14:textId="491F7A4D" w:rsidR="00664AF1" w:rsidRDefault="00357E3C" w:rsidP="00664AF1">
      <w:pPr>
        <w:tabs>
          <w:tab w:val="left" w:pos="4298"/>
        </w:tabs>
        <w:jc w:val="center"/>
        <w:rPr>
          <w:rFonts w:ascii="Arial" w:hAnsi="Arial" w:cs="Arial"/>
          <w:b/>
          <w:bCs/>
          <w:iCs/>
          <w:sz w:val="28"/>
          <w:lang w:eastAsia="el-GR"/>
        </w:rPr>
      </w:pPr>
      <w:bookmarkStart w:id="0" w:name="_gezoi14pvxii"/>
      <w:bookmarkEnd w:id="0"/>
      <w:r>
        <w:rPr>
          <w:rFonts w:ascii="Arial" w:hAnsi="Arial" w:cs="Arial"/>
          <w:b/>
          <w:bCs/>
          <w:iCs/>
          <w:sz w:val="28"/>
          <w:lang w:eastAsia="el-GR"/>
        </w:rPr>
        <w:t xml:space="preserve">Evropští investoři a emitenti </w:t>
      </w:r>
      <w:r w:rsidR="008966A9">
        <w:rPr>
          <w:rFonts w:ascii="Arial" w:hAnsi="Arial" w:cs="Arial"/>
          <w:b/>
          <w:bCs/>
          <w:iCs/>
          <w:sz w:val="28"/>
          <w:lang w:eastAsia="el-GR"/>
        </w:rPr>
        <w:t>jsou</w:t>
      </w:r>
      <w:r>
        <w:rPr>
          <w:rFonts w:ascii="Arial" w:hAnsi="Arial" w:cs="Arial"/>
          <w:b/>
          <w:bCs/>
          <w:iCs/>
          <w:sz w:val="28"/>
          <w:lang w:eastAsia="el-GR"/>
        </w:rPr>
        <w:t xml:space="preserve"> světov</w:t>
      </w:r>
      <w:r w:rsidR="008966A9">
        <w:rPr>
          <w:rFonts w:ascii="Arial" w:hAnsi="Arial" w:cs="Arial"/>
          <w:b/>
          <w:bCs/>
          <w:iCs/>
          <w:sz w:val="28"/>
          <w:lang w:eastAsia="el-GR"/>
        </w:rPr>
        <w:t>ou</w:t>
      </w:r>
      <w:r>
        <w:rPr>
          <w:rFonts w:ascii="Arial" w:hAnsi="Arial" w:cs="Arial"/>
          <w:b/>
          <w:bCs/>
          <w:iCs/>
          <w:sz w:val="28"/>
          <w:lang w:eastAsia="el-GR"/>
        </w:rPr>
        <w:t xml:space="preserve"> špič</w:t>
      </w:r>
      <w:r w:rsidR="008966A9">
        <w:rPr>
          <w:rFonts w:ascii="Arial" w:hAnsi="Arial" w:cs="Arial"/>
          <w:b/>
          <w:bCs/>
          <w:iCs/>
          <w:sz w:val="28"/>
          <w:lang w:eastAsia="el-GR"/>
        </w:rPr>
        <w:t>kou</w:t>
      </w:r>
      <w:r>
        <w:rPr>
          <w:rFonts w:ascii="Arial" w:hAnsi="Arial" w:cs="Arial"/>
          <w:b/>
          <w:bCs/>
          <w:iCs/>
          <w:sz w:val="28"/>
          <w:lang w:eastAsia="el-GR"/>
        </w:rPr>
        <w:t xml:space="preserve"> v</w:t>
      </w:r>
      <w:r w:rsidR="00253EB6">
        <w:rPr>
          <w:rFonts w:ascii="Arial" w:hAnsi="Arial" w:cs="Arial"/>
          <w:b/>
          <w:bCs/>
          <w:iCs/>
          <w:sz w:val="28"/>
          <w:lang w:eastAsia="el-GR"/>
        </w:rPr>
        <w:t> </w:t>
      </w:r>
      <w:r>
        <w:rPr>
          <w:rFonts w:ascii="Arial" w:hAnsi="Arial" w:cs="Arial"/>
          <w:b/>
          <w:bCs/>
          <w:iCs/>
          <w:sz w:val="28"/>
          <w:lang w:eastAsia="el-GR"/>
        </w:rPr>
        <w:t>udržitelnosti</w:t>
      </w:r>
    </w:p>
    <w:p w14:paraId="1F7EC879" w14:textId="05A49004" w:rsidR="00ED7245" w:rsidRDefault="00ED7245" w:rsidP="264E1EB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88AB7ED" w14:textId="57A3C1E0" w:rsidR="009621DD" w:rsidRDefault="00357E3C" w:rsidP="00357E3C">
      <w:pPr>
        <w:pStyle w:val="BodyText1"/>
        <w:spacing w:line="276" w:lineRule="auto"/>
        <w:jc w:val="center"/>
        <w:rPr>
          <w:rFonts w:cs="Arial"/>
          <w:b/>
          <w:bCs/>
          <w:iCs/>
          <w:sz w:val="22"/>
          <w:lang w:val="cs-CZ" w:eastAsia="el-GR"/>
        </w:rPr>
      </w:pPr>
      <w:r w:rsidRPr="00357E3C">
        <w:rPr>
          <w:rFonts w:cs="Arial"/>
          <w:b/>
          <w:bCs/>
          <w:iCs/>
          <w:sz w:val="22"/>
          <w:lang w:val="cs-CZ" w:eastAsia="el-GR"/>
        </w:rPr>
        <w:t>Průzkum HSBC zjistil, že 97</w:t>
      </w:r>
      <w:r w:rsidR="00253EB6">
        <w:rPr>
          <w:rFonts w:cs="Arial"/>
          <w:b/>
          <w:bCs/>
          <w:iCs/>
          <w:sz w:val="22"/>
          <w:lang w:val="cs-CZ" w:eastAsia="el-GR"/>
        </w:rPr>
        <w:t> </w:t>
      </w:r>
      <w:r w:rsidRPr="00357E3C">
        <w:rPr>
          <w:rFonts w:cs="Arial"/>
          <w:b/>
          <w:bCs/>
          <w:iCs/>
          <w:sz w:val="22"/>
          <w:lang w:val="cs-CZ" w:eastAsia="el-GR"/>
        </w:rPr>
        <w:t xml:space="preserve">% evropských </w:t>
      </w:r>
      <w:r>
        <w:rPr>
          <w:rFonts w:cs="Arial"/>
          <w:b/>
          <w:bCs/>
          <w:iCs/>
          <w:sz w:val="22"/>
          <w:lang w:val="cs-CZ" w:eastAsia="el-GR"/>
        </w:rPr>
        <w:t>firem</w:t>
      </w:r>
      <w:r w:rsidRPr="00357E3C">
        <w:rPr>
          <w:rFonts w:cs="Arial"/>
          <w:b/>
          <w:bCs/>
          <w:iCs/>
          <w:sz w:val="22"/>
          <w:lang w:val="cs-CZ" w:eastAsia="el-GR"/>
        </w:rPr>
        <w:t xml:space="preserve"> plánuje do pěti let </w:t>
      </w:r>
      <w:r w:rsidR="0052717E">
        <w:rPr>
          <w:rFonts w:cs="Arial"/>
          <w:b/>
          <w:bCs/>
          <w:iCs/>
          <w:sz w:val="22"/>
          <w:lang w:val="cs-CZ" w:eastAsia="el-GR"/>
        </w:rPr>
        <w:t xml:space="preserve">přejít </w:t>
      </w:r>
      <w:r w:rsidR="000744DC">
        <w:rPr>
          <w:rFonts w:cs="Arial"/>
          <w:b/>
          <w:bCs/>
          <w:iCs/>
          <w:sz w:val="22"/>
          <w:lang w:val="cs-CZ" w:eastAsia="el-GR"/>
        </w:rPr>
        <w:t>na</w:t>
      </w:r>
      <w:r w:rsidR="0052717E">
        <w:rPr>
          <w:rFonts w:cs="Arial"/>
          <w:b/>
          <w:bCs/>
          <w:iCs/>
          <w:sz w:val="22"/>
          <w:lang w:val="cs-CZ" w:eastAsia="el-GR"/>
        </w:rPr>
        <w:t xml:space="preserve"> udržitelnější </w:t>
      </w:r>
      <w:r w:rsidRPr="00357E3C">
        <w:rPr>
          <w:rFonts w:cs="Arial"/>
          <w:b/>
          <w:bCs/>
          <w:iCs/>
          <w:sz w:val="22"/>
          <w:lang w:val="cs-CZ" w:eastAsia="el-GR"/>
        </w:rPr>
        <w:t>obchodní model</w:t>
      </w:r>
      <w:r w:rsidR="000744DC">
        <w:rPr>
          <w:rFonts w:cs="Arial"/>
          <w:b/>
          <w:bCs/>
          <w:iCs/>
          <w:sz w:val="22"/>
          <w:lang w:val="cs-CZ" w:eastAsia="el-GR"/>
        </w:rPr>
        <w:t>y</w:t>
      </w:r>
    </w:p>
    <w:p w14:paraId="68626C39" w14:textId="77777777" w:rsidR="00357E3C" w:rsidRDefault="00357E3C" w:rsidP="009621DD">
      <w:pPr>
        <w:pStyle w:val="BodyText1"/>
        <w:spacing w:line="276" w:lineRule="auto"/>
        <w:rPr>
          <w:rFonts w:cs="Arial"/>
          <w:sz w:val="22"/>
          <w:szCs w:val="22"/>
        </w:rPr>
      </w:pPr>
    </w:p>
    <w:p w14:paraId="24893964" w14:textId="6B185A01" w:rsidR="00357E3C" w:rsidRPr="00357E3C" w:rsidRDefault="00664AF1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D851A0">
        <w:rPr>
          <w:rFonts w:ascii="Arial" w:hAnsi="Arial" w:cs="Arial"/>
          <w:b/>
          <w:bCs/>
          <w:iCs/>
          <w:sz w:val="22"/>
          <w:lang w:eastAsia="el-GR"/>
        </w:rPr>
        <w:t>Pra</w:t>
      </w:r>
      <w:r>
        <w:rPr>
          <w:rFonts w:ascii="Arial" w:hAnsi="Arial" w:cs="Arial"/>
          <w:b/>
          <w:bCs/>
          <w:iCs/>
          <w:sz w:val="22"/>
          <w:lang w:eastAsia="el-GR"/>
        </w:rPr>
        <w:t>ha</w:t>
      </w:r>
      <w:r w:rsidRPr="00D851A0">
        <w:rPr>
          <w:rFonts w:ascii="Arial" w:hAnsi="Arial" w:cs="Arial"/>
          <w:b/>
          <w:bCs/>
          <w:iCs/>
          <w:sz w:val="22"/>
          <w:lang w:eastAsia="el-GR"/>
        </w:rPr>
        <w:t xml:space="preserve"> </w:t>
      </w:r>
      <w:r w:rsidR="00350891">
        <w:rPr>
          <w:rFonts w:ascii="Arial" w:hAnsi="Arial" w:cs="Arial"/>
          <w:b/>
          <w:bCs/>
          <w:iCs/>
          <w:sz w:val="22"/>
          <w:lang w:eastAsia="el-GR"/>
        </w:rPr>
        <w:t>11. řijna</w:t>
      </w:r>
      <w:r w:rsidRPr="00D851A0">
        <w:rPr>
          <w:rFonts w:ascii="Arial" w:hAnsi="Arial" w:cs="Arial"/>
          <w:b/>
          <w:bCs/>
          <w:iCs/>
          <w:sz w:val="22"/>
          <w:lang w:eastAsia="el-GR"/>
        </w:rPr>
        <w:t xml:space="preserve"> </w:t>
      </w:r>
      <w:r w:rsidRPr="00B168EA">
        <w:rPr>
          <w:rFonts w:ascii="Arial" w:hAnsi="Arial" w:cs="Arial"/>
          <w:iCs/>
          <w:sz w:val="22"/>
          <w:lang w:eastAsia="el-GR"/>
        </w:rPr>
        <w:t xml:space="preserve">– </w:t>
      </w:r>
      <w:r w:rsidR="00357E3C">
        <w:rPr>
          <w:rFonts w:ascii="Arial" w:hAnsi="Arial" w:cs="Arial"/>
          <w:iCs/>
          <w:sz w:val="22"/>
          <w:lang w:eastAsia="el-GR"/>
        </w:rPr>
        <w:t xml:space="preserve">Evropské firmy </w:t>
      </w:r>
      <w:r w:rsidR="0052717E">
        <w:rPr>
          <w:rFonts w:ascii="Arial" w:hAnsi="Arial" w:cs="Arial"/>
          <w:iCs/>
          <w:sz w:val="22"/>
          <w:lang w:eastAsia="el-GR"/>
        </w:rPr>
        <w:t xml:space="preserve">jsou ve svých </w:t>
      </w:r>
      <w:r w:rsidR="00357E3C">
        <w:rPr>
          <w:rFonts w:ascii="Arial" w:hAnsi="Arial" w:cs="Arial"/>
          <w:iCs/>
          <w:sz w:val="22"/>
          <w:lang w:eastAsia="el-GR"/>
        </w:rPr>
        <w:t>závazcích k udržitelnější budoucnosti</w:t>
      </w:r>
      <w:r w:rsidR="0052717E">
        <w:rPr>
          <w:rFonts w:ascii="Arial" w:hAnsi="Arial" w:cs="Arial"/>
          <w:iCs/>
          <w:sz w:val="22"/>
          <w:lang w:eastAsia="el-GR"/>
        </w:rPr>
        <w:t xml:space="preserve"> nejdále na světě</w:t>
      </w:r>
      <w:r w:rsidR="00357E3C">
        <w:rPr>
          <w:rFonts w:ascii="Arial" w:hAnsi="Arial" w:cs="Arial"/>
          <w:iCs/>
          <w:sz w:val="22"/>
          <w:lang w:eastAsia="el-GR"/>
        </w:rPr>
        <w:t xml:space="preserve">. 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Podle průzkumu HSBC </w:t>
      </w:r>
      <w:proofErr w:type="spellStart"/>
      <w:r w:rsidR="00357E3C" w:rsidRPr="00357E3C">
        <w:rPr>
          <w:rFonts w:ascii="Arial" w:hAnsi="Arial" w:cs="Arial"/>
          <w:iCs/>
          <w:sz w:val="22"/>
          <w:lang w:eastAsia="el-GR"/>
        </w:rPr>
        <w:t>Sustainable</w:t>
      </w:r>
      <w:proofErr w:type="spellEnd"/>
      <w:r w:rsidR="00357E3C" w:rsidRPr="00357E3C">
        <w:rPr>
          <w:rFonts w:ascii="Arial" w:hAnsi="Arial" w:cs="Arial"/>
          <w:iCs/>
          <w:sz w:val="22"/>
          <w:lang w:eastAsia="el-GR"/>
        </w:rPr>
        <w:t xml:space="preserve"> </w:t>
      </w:r>
      <w:proofErr w:type="spellStart"/>
      <w:r w:rsidR="00357E3C" w:rsidRPr="00357E3C">
        <w:rPr>
          <w:rFonts w:ascii="Arial" w:hAnsi="Arial" w:cs="Arial"/>
          <w:iCs/>
          <w:sz w:val="22"/>
          <w:lang w:eastAsia="el-GR"/>
        </w:rPr>
        <w:t>Financing</w:t>
      </w:r>
      <w:proofErr w:type="spellEnd"/>
      <w:r w:rsidR="00357E3C" w:rsidRPr="00357E3C">
        <w:rPr>
          <w:rFonts w:ascii="Arial" w:hAnsi="Arial" w:cs="Arial"/>
          <w:iCs/>
          <w:sz w:val="22"/>
          <w:lang w:eastAsia="el-GR"/>
        </w:rPr>
        <w:t xml:space="preserve"> and </w:t>
      </w:r>
      <w:proofErr w:type="spellStart"/>
      <w:r w:rsidR="00357E3C" w:rsidRPr="00357E3C">
        <w:rPr>
          <w:rFonts w:ascii="Arial" w:hAnsi="Arial" w:cs="Arial"/>
          <w:iCs/>
          <w:sz w:val="22"/>
          <w:lang w:eastAsia="el-GR"/>
        </w:rPr>
        <w:t>Investing</w:t>
      </w:r>
      <w:proofErr w:type="spellEnd"/>
      <w:r w:rsidR="00357E3C" w:rsidRPr="00357E3C">
        <w:rPr>
          <w:rFonts w:ascii="Arial" w:hAnsi="Arial" w:cs="Arial"/>
          <w:iCs/>
          <w:sz w:val="22"/>
          <w:lang w:eastAsia="el-GR"/>
        </w:rPr>
        <w:t xml:space="preserve"> </w:t>
      </w:r>
      <w:proofErr w:type="spellStart"/>
      <w:r w:rsidR="00357E3C" w:rsidRPr="00357E3C">
        <w:rPr>
          <w:rFonts w:ascii="Arial" w:hAnsi="Arial" w:cs="Arial"/>
          <w:iCs/>
          <w:sz w:val="22"/>
          <w:lang w:eastAsia="el-GR"/>
        </w:rPr>
        <w:t>Survey</w:t>
      </w:r>
      <w:proofErr w:type="spellEnd"/>
      <w:r w:rsidR="00357E3C" w:rsidRPr="00357E3C">
        <w:rPr>
          <w:rFonts w:ascii="Arial" w:hAnsi="Arial" w:cs="Arial"/>
          <w:iCs/>
          <w:sz w:val="22"/>
          <w:lang w:eastAsia="el-GR"/>
        </w:rPr>
        <w:t xml:space="preserve"> 2021 </w:t>
      </w:r>
      <w:r w:rsidR="00357E3C">
        <w:rPr>
          <w:rFonts w:ascii="Arial" w:hAnsi="Arial" w:cs="Arial"/>
          <w:iCs/>
          <w:sz w:val="22"/>
          <w:lang w:eastAsia="el-GR"/>
        </w:rPr>
        <w:t>se 24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357E3C">
        <w:rPr>
          <w:rFonts w:ascii="Arial" w:hAnsi="Arial" w:cs="Arial"/>
          <w:iCs/>
          <w:sz w:val="22"/>
          <w:lang w:eastAsia="el-GR"/>
        </w:rPr>
        <w:t xml:space="preserve">% </w:t>
      </w:r>
      <w:r w:rsidR="00357E3C" w:rsidRPr="00357E3C">
        <w:rPr>
          <w:rFonts w:ascii="Arial" w:hAnsi="Arial" w:cs="Arial"/>
          <w:iCs/>
          <w:sz w:val="22"/>
          <w:lang w:eastAsia="el-GR"/>
        </w:rPr>
        <w:t>emitentů</w:t>
      </w:r>
      <w:r w:rsidR="00357E3C">
        <w:rPr>
          <w:rFonts w:ascii="Arial" w:hAnsi="Arial" w:cs="Arial"/>
          <w:iCs/>
          <w:sz w:val="22"/>
          <w:lang w:eastAsia="el-GR"/>
        </w:rPr>
        <w:t xml:space="preserve"> ze starého kontinentu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 již zavázalo k</w:t>
      </w:r>
      <w:r w:rsidR="0052717E">
        <w:rPr>
          <w:rFonts w:ascii="Arial" w:hAnsi="Arial" w:cs="Arial"/>
          <w:iCs/>
          <w:sz w:val="22"/>
          <w:lang w:eastAsia="el-GR"/>
        </w:rPr>
        <w:t> dosažení uhlíkové neutrality</w:t>
      </w:r>
      <w:r w:rsidR="00357E3C">
        <w:rPr>
          <w:rFonts w:ascii="Arial" w:hAnsi="Arial" w:cs="Arial"/>
          <w:iCs/>
          <w:sz w:val="22"/>
          <w:lang w:eastAsia="el-GR"/>
        </w:rPr>
        <w:t xml:space="preserve"> oproti celosvětovému průměru 16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357E3C">
        <w:rPr>
          <w:rFonts w:ascii="Arial" w:hAnsi="Arial" w:cs="Arial"/>
          <w:iCs/>
          <w:sz w:val="22"/>
          <w:lang w:eastAsia="el-GR"/>
        </w:rPr>
        <w:t>%.</w:t>
      </w:r>
    </w:p>
    <w:p w14:paraId="3F6B7BE2" w14:textId="77777777" w:rsidR="00357E3C" w:rsidRP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43C9C40D" w14:textId="25201A82" w:rsidR="001364D9" w:rsidRDefault="0082564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>N</w:t>
      </w:r>
      <w:r w:rsidR="00357E3C" w:rsidRPr="00357E3C">
        <w:rPr>
          <w:rFonts w:ascii="Arial" w:hAnsi="Arial" w:cs="Arial"/>
          <w:iCs/>
          <w:sz w:val="22"/>
          <w:lang w:eastAsia="el-GR"/>
        </w:rPr>
        <w:t>aprostá většina emitentů v Evropě (97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="00357E3C" w:rsidRPr="00357E3C">
        <w:rPr>
          <w:rFonts w:ascii="Arial" w:hAnsi="Arial" w:cs="Arial"/>
          <w:iCs/>
          <w:sz w:val="22"/>
          <w:lang w:eastAsia="el-GR"/>
        </w:rPr>
        <w:t>%) i na celém světě (94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%) plánuje během příštích pěti let </w:t>
      </w:r>
      <w:r w:rsidR="001364D9">
        <w:rPr>
          <w:rFonts w:ascii="Arial" w:hAnsi="Arial" w:cs="Arial"/>
          <w:iCs/>
          <w:sz w:val="22"/>
          <w:lang w:eastAsia="el-GR"/>
        </w:rPr>
        <w:t xml:space="preserve">přejít </w:t>
      </w:r>
      <w:r w:rsidR="001C620D">
        <w:rPr>
          <w:rFonts w:ascii="Arial" w:hAnsi="Arial" w:cs="Arial"/>
          <w:iCs/>
          <w:sz w:val="22"/>
          <w:lang w:eastAsia="el-GR"/>
        </w:rPr>
        <w:t>k</w:t>
      </w:r>
      <w:r w:rsidR="001364D9">
        <w:rPr>
          <w:rFonts w:ascii="Arial" w:hAnsi="Arial" w:cs="Arial"/>
          <w:iCs/>
          <w:sz w:val="22"/>
          <w:lang w:eastAsia="el-GR"/>
        </w:rPr>
        <w:t xml:space="preserve"> obchodní</w:t>
      </w:r>
      <w:r w:rsidR="001C620D">
        <w:rPr>
          <w:rFonts w:ascii="Arial" w:hAnsi="Arial" w:cs="Arial"/>
          <w:iCs/>
          <w:sz w:val="22"/>
          <w:lang w:eastAsia="el-GR"/>
        </w:rPr>
        <w:t>m</w:t>
      </w:r>
      <w:r w:rsidR="001364D9">
        <w:rPr>
          <w:rFonts w:ascii="Arial" w:hAnsi="Arial" w:cs="Arial"/>
          <w:iCs/>
          <w:sz w:val="22"/>
          <w:lang w:eastAsia="el-GR"/>
        </w:rPr>
        <w:t xml:space="preserve"> model</w:t>
      </w:r>
      <w:r w:rsidR="001C620D">
        <w:rPr>
          <w:rFonts w:ascii="Arial" w:hAnsi="Arial" w:cs="Arial"/>
          <w:iCs/>
          <w:sz w:val="22"/>
          <w:lang w:eastAsia="el-GR"/>
        </w:rPr>
        <w:t>ům, které více</w:t>
      </w:r>
      <w:r w:rsidR="001364D9">
        <w:rPr>
          <w:rFonts w:ascii="Arial" w:hAnsi="Arial" w:cs="Arial"/>
          <w:iCs/>
          <w:sz w:val="22"/>
          <w:lang w:eastAsia="el-GR"/>
        </w:rPr>
        <w:t xml:space="preserve"> zohled</w:t>
      </w:r>
      <w:r w:rsidR="001C620D">
        <w:rPr>
          <w:rFonts w:ascii="Arial" w:hAnsi="Arial" w:cs="Arial"/>
          <w:iCs/>
          <w:sz w:val="22"/>
          <w:lang w:eastAsia="el-GR"/>
        </w:rPr>
        <w:t>n</w:t>
      </w:r>
      <w:r w:rsidR="001364D9">
        <w:rPr>
          <w:rFonts w:ascii="Arial" w:hAnsi="Arial" w:cs="Arial"/>
          <w:iCs/>
          <w:sz w:val="22"/>
          <w:lang w:eastAsia="el-GR"/>
        </w:rPr>
        <w:t xml:space="preserve">í sociální </w:t>
      </w:r>
      <w:r w:rsidR="00253EB6">
        <w:rPr>
          <w:rFonts w:ascii="Arial" w:hAnsi="Arial" w:cs="Arial"/>
          <w:iCs/>
          <w:sz w:val="22"/>
          <w:lang w:eastAsia="el-GR"/>
        </w:rPr>
        <w:t xml:space="preserve">oblast </w:t>
      </w:r>
      <w:r w:rsidR="001364D9">
        <w:rPr>
          <w:rFonts w:ascii="Arial" w:hAnsi="Arial" w:cs="Arial"/>
          <w:iCs/>
          <w:sz w:val="22"/>
          <w:lang w:eastAsia="el-GR"/>
        </w:rPr>
        <w:t>a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1364D9">
        <w:rPr>
          <w:rFonts w:ascii="Arial" w:hAnsi="Arial" w:cs="Arial"/>
          <w:iCs/>
          <w:sz w:val="22"/>
          <w:lang w:eastAsia="el-GR"/>
        </w:rPr>
        <w:t>životní prostředí.</w:t>
      </w:r>
    </w:p>
    <w:p w14:paraId="52FC2EF0" w14:textId="72D3B306" w:rsid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3E87D687" w14:textId="49C1B3B5" w:rsidR="006C63BE" w:rsidRDefault="001C620D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>Tyto změny po firmách vyžadují i e</w:t>
      </w:r>
      <w:r w:rsidR="006C63BE">
        <w:rPr>
          <w:rFonts w:ascii="Arial" w:hAnsi="Arial" w:cs="Arial"/>
          <w:iCs/>
          <w:sz w:val="22"/>
          <w:lang w:eastAsia="el-GR"/>
        </w:rPr>
        <w:t>vropští investoři. Téměř všichni (99,6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="006C63BE">
        <w:rPr>
          <w:rFonts w:ascii="Arial" w:hAnsi="Arial" w:cs="Arial"/>
          <w:iCs/>
          <w:sz w:val="22"/>
          <w:lang w:eastAsia="el-GR"/>
        </w:rPr>
        <w:t xml:space="preserve">%) uvedli, že je pro ně důležité či </w:t>
      </w:r>
      <w:r w:rsidR="00B41BEE">
        <w:rPr>
          <w:rFonts w:ascii="Arial" w:hAnsi="Arial" w:cs="Arial"/>
          <w:iCs/>
          <w:sz w:val="22"/>
          <w:lang w:eastAsia="el-GR"/>
        </w:rPr>
        <w:t>velice důležité</w:t>
      </w:r>
      <w:r w:rsidR="006C63BE">
        <w:rPr>
          <w:rFonts w:ascii="Arial" w:hAnsi="Arial" w:cs="Arial"/>
          <w:iCs/>
          <w:sz w:val="22"/>
          <w:lang w:eastAsia="el-GR"/>
        </w:rPr>
        <w:t xml:space="preserve">, aby se </w:t>
      </w:r>
      <w:r>
        <w:rPr>
          <w:rFonts w:ascii="Arial" w:hAnsi="Arial" w:cs="Arial"/>
          <w:iCs/>
          <w:sz w:val="22"/>
          <w:lang w:eastAsia="el-GR"/>
        </w:rPr>
        <w:t>společnosti,</w:t>
      </w:r>
      <w:r w:rsidR="006C63BE">
        <w:rPr>
          <w:rFonts w:ascii="Arial" w:hAnsi="Arial" w:cs="Arial"/>
          <w:iCs/>
          <w:sz w:val="22"/>
          <w:lang w:eastAsia="el-GR"/>
        </w:rPr>
        <w:t xml:space="preserve"> do kterých investují, připravovaly na dopady změny klimatu. </w:t>
      </w:r>
      <w:r>
        <w:rPr>
          <w:rFonts w:ascii="Arial" w:hAnsi="Arial" w:cs="Arial"/>
          <w:iCs/>
          <w:sz w:val="22"/>
          <w:lang w:eastAsia="el-GR"/>
        </w:rPr>
        <w:t>Z</w:t>
      </w:r>
      <w:r w:rsidR="006C63BE">
        <w:rPr>
          <w:rFonts w:ascii="Arial" w:hAnsi="Arial" w:cs="Arial"/>
          <w:iCs/>
          <w:sz w:val="22"/>
          <w:lang w:eastAsia="el-GR"/>
        </w:rPr>
        <w:t xml:space="preserve"> těch, kteří považují problematiku za </w:t>
      </w:r>
      <w:r w:rsidR="00B41BEE">
        <w:rPr>
          <w:rFonts w:ascii="Arial" w:hAnsi="Arial" w:cs="Arial"/>
          <w:iCs/>
          <w:sz w:val="22"/>
          <w:lang w:eastAsia="el-GR"/>
        </w:rPr>
        <w:t>velice důležitou</w:t>
      </w:r>
      <w:r w:rsidR="006C63BE">
        <w:rPr>
          <w:rFonts w:ascii="Arial" w:hAnsi="Arial" w:cs="Arial"/>
          <w:iCs/>
          <w:sz w:val="22"/>
          <w:lang w:eastAsia="el-GR"/>
        </w:rPr>
        <w:t xml:space="preserve">, </w:t>
      </w:r>
      <w:r w:rsidR="00B41BEE">
        <w:rPr>
          <w:rFonts w:ascii="Arial" w:hAnsi="Arial" w:cs="Arial"/>
          <w:iCs/>
          <w:sz w:val="22"/>
          <w:lang w:eastAsia="el-GR"/>
        </w:rPr>
        <w:t>plánuje</w:t>
      </w:r>
      <w:r>
        <w:rPr>
          <w:rFonts w:ascii="Arial" w:hAnsi="Arial" w:cs="Arial"/>
          <w:iCs/>
          <w:sz w:val="22"/>
          <w:lang w:eastAsia="el-GR"/>
        </w:rPr>
        <w:t xml:space="preserve"> téměř 11 % (celosvětově 23 %) </w:t>
      </w:r>
      <w:r w:rsidR="00B41BEE">
        <w:rPr>
          <w:rFonts w:ascii="Arial" w:hAnsi="Arial" w:cs="Arial"/>
          <w:iCs/>
          <w:sz w:val="22"/>
          <w:lang w:eastAsia="el-GR"/>
        </w:rPr>
        <w:t>stáhnout</w:t>
      </w:r>
      <w:r w:rsidR="006C63BE">
        <w:rPr>
          <w:rFonts w:ascii="Arial" w:hAnsi="Arial" w:cs="Arial"/>
          <w:iCs/>
          <w:sz w:val="22"/>
          <w:lang w:eastAsia="el-GR"/>
        </w:rPr>
        <w:t xml:space="preserve"> své investice z firem, které nepředloží důvěryhodné plány</w:t>
      </w:r>
      <w:r w:rsidR="00A452EA">
        <w:rPr>
          <w:rFonts w:ascii="Arial" w:hAnsi="Arial" w:cs="Arial"/>
          <w:iCs/>
          <w:sz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lang w:eastAsia="el-GR"/>
        </w:rPr>
        <w:t xml:space="preserve">k přechodu </w:t>
      </w:r>
      <w:r w:rsidR="000744DC">
        <w:rPr>
          <w:rFonts w:ascii="Arial" w:hAnsi="Arial" w:cs="Arial"/>
          <w:iCs/>
          <w:sz w:val="22"/>
          <w:lang w:eastAsia="el-GR"/>
        </w:rPr>
        <w:t>na</w:t>
      </w:r>
      <w:r>
        <w:rPr>
          <w:rFonts w:ascii="Arial" w:hAnsi="Arial" w:cs="Arial"/>
          <w:iCs/>
          <w:sz w:val="22"/>
          <w:lang w:eastAsia="el-GR"/>
        </w:rPr>
        <w:t xml:space="preserve"> udržitelnější obchodní modely</w:t>
      </w:r>
      <w:r w:rsidR="00A452EA">
        <w:rPr>
          <w:rFonts w:ascii="Arial" w:hAnsi="Arial" w:cs="Arial"/>
          <w:iCs/>
          <w:sz w:val="22"/>
          <w:lang w:eastAsia="el-GR"/>
        </w:rPr>
        <w:t>.</w:t>
      </w:r>
    </w:p>
    <w:p w14:paraId="66D39A87" w14:textId="77777777" w:rsidR="00357E3C" w:rsidRP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5EDC0EE6" w14:textId="7C550816" w:rsidR="00357E3C" w:rsidRP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357E3C">
        <w:rPr>
          <w:rFonts w:ascii="Arial" w:hAnsi="Arial" w:cs="Arial"/>
          <w:iCs/>
          <w:sz w:val="22"/>
          <w:lang w:eastAsia="el-GR"/>
        </w:rPr>
        <w:t xml:space="preserve">Ve svém závazku </w:t>
      </w:r>
      <w:r w:rsidR="00A452EA">
        <w:rPr>
          <w:rFonts w:ascii="Arial" w:hAnsi="Arial" w:cs="Arial"/>
          <w:iCs/>
          <w:sz w:val="22"/>
          <w:lang w:eastAsia="el-GR"/>
        </w:rPr>
        <w:t xml:space="preserve">k </w:t>
      </w:r>
      <w:r w:rsidRPr="00357E3C">
        <w:rPr>
          <w:rFonts w:ascii="Arial" w:hAnsi="Arial" w:cs="Arial"/>
          <w:iCs/>
          <w:sz w:val="22"/>
          <w:lang w:eastAsia="el-GR"/>
        </w:rPr>
        <w:t>uhlíkové neutralit</w:t>
      </w:r>
      <w:r w:rsidR="00A452EA">
        <w:rPr>
          <w:rFonts w:ascii="Arial" w:hAnsi="Arial" w:cs="Arial"/>
          <w:iCs/>
          <w:sz w:val="22"/>
          <w:lang w:eastAsia="el-GR"/>
        </w:rPr>
        <w:t>ě</w:t>
      </w:r>
      <w:r w:rsidRPr="00357E3C">
        <w:rPr>
          <w:rFonts w:ascii="Arial" w:hAnsi="Arial" w:cs="Arial"/>
          <w:iCs/>
          <w:sz w:val="22"/>
          <w:lang w:eastAsia="el-GR"/>
        </w:rPr>
        <w:t xml:space="preserve"> </w:t>
      </w:r>
      <w:r w:rsidR="001C620D">
        <w:rPr>
          <w:rFonts w:ascii="Arial" w:hAnsi="Arial" w:cs="Arial"/>
          <w:iCs/>
          <w:sz w:val="22"/>
          <w:lang w:eastAsia="el-GR"/>
        </w:rPr>
        <w:t>jsou</w:t>
      </w:r>
      <w:r w:rsidRPr="00357E3C">
        <w:rPr>
          <w:rFonts w:ascii="Arial" w:hAnsi="Arial" w:cs="Arial"/>
          <w:iCs/>
          <w:sz w:val="22"/>
          <w:lang w:eastAsia="el-GR"/>
        </w:rPr>
        <w:t xml:space="preserve"> evropští investoři</w:t>
      </w:r>
      <w:r w:rsidR="001C620D">
        <w:rPr>
          <w:rFonts w:ascii="Arial" w:hAnsi="Arial" w:cs="Arial"/>
          <w:iCs/>
          <w:sz w:val="22"/>
          <w:lang w:eastAsia="el-GR"/>
        </w:rPr>
        <w:t xml:space="preserve"> </w:t>
      </w:r>
      <w:r w:rsidRPr="00357E3C">
        <w:rPr>
          <w:rFonts w:ascii="Arial" w:hAnsi="Arial" w:cs="Arial"/>
          <w:iCs/>
          <w:sz w:val="22"/>
          <w:lang w:eastAsia="el-GR"/>
        </w:rPr>
        <w:t xml:space="preserve">světovou špičkou </w:t>
      </w:r>
      <w:r w:rsidR="00A452EA">
        <w:rPr>
          <w:rFonts w:ascii="Arial" w:hAnsi="Arial" w:cs="Arial"/>
          <w:iCs/>
          <w:sz w:val="22"/>
          <w:lang w:eastAsia="el-GR"/>
        </w:rPr>
        <w:t>–</w:t>
      </w:r>
      <w:r w:rsidRPr="00357E3C">
        <w:rPr>
          <w:rFonts w:ascii="Arial" w:hAnsi="Arial" w:cs="Arial"/>
          <w:iCs/>
          <w:sz w:val="22"/>
          <w:lang w:eastAsia="el-GR"/>
        </w:rPr>
        <w:t xml:space="preserve"> 38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Pr="00357E3C">
        <w:rPr>
          <w:rFonts w:ascii="Arial" w:hAnsi="Arial" w:cs="Arial"/>
          <w:iCs/>
          <w:sz w:val="22"/>
          <w:lang w:eastAsia="el-GR"/>
        </w:rPr>
        <w:t>% z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Pr="00357E3C">
        <w:rPr>
          <w:rFonts w:ascii="Arial" w:hAnsi="Arial" w:cs="Arial"/>
          <w:iCs/>
          <w:sz w:val="22"/>
          <w:lang w:eastAsia="el-GR"/>
        </w:rPr>
        <w:t>nic</w:t>
      </w:r>
      <w:r w:rsidR="00A452EA">
        <w:rPr>
          <w:rFonts w:ascii="Arial" w:hAnsi="Arial" w:cs="Arial"/>
          <w:iCs/>
          <w:sz w:val="22"/>
          <w:lang w:eastAsia="el-GR"/>
        </w:rPr>
        <w:t>h již takový závazek učinilo</w:t>
      </w:r>
      <w:r w:rsidRPr="00357E3C">
        <w:rPr>
          <w:rFonts w:ascii="Arial" w:hAnsi="Arial" w:cs="Arial"/>
          <w:iCs/>
          <w:sz w:val="22"/>
          <w:lang w:eastAsia="el-GR"/>
        </w:rPr>
        <w:t>, zatímco celosvětově je to</w:t>
      </w:r>
      <w:r w:rsidR="00A452EA">
        <w:rPr>
          <w:rFonts w:ascii="Arial" w:hAnsi="Arial" w:cs="Arial"/>
          <w:iCs/>
          <w:sz w:val="22"/>
          <w:lang w:eastAsia="el-GR"/>
        </w:rPr>
        <w:t xml:space="preserve"> pouhých</w:t>
      </w:r>
      <w:r w:rsidRPr="00357E3C">
        <w:rPr>
          <w:rFonts w:ascii="Arial" w:hAnsi="Arial" w:cs="Arial"/>
          <w:iCs/>
          <w:sz w:val="22"/>
          <w:lang w:eastAsia="el-GR"/>
        </w:rPr>
        <w:t xml:space="preserve"> 17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Pr="00357E3C">
        <w:rPr>
          <w:rFonts w:ascii="Arial" w:hAnsi="Arial" w:cs="Arial"/>
          <w:iCs/>
          <w:sz w:val="22"/>
          <w:lang w:eastAsia="el-GR"/>
        </w:rPr>
        <w:t>%.</w:t>
      </w:r>
      <w:r w:rsidR="00A452EA">
        <w:rPr>
          <w:rFonts w:ascii="Arial" w:hAnsi="Arial" w:cs="Arial"/>
          <w:iCs/>
          <w:sz w:val="22"/>
          <w:lang w:eastAsia="el-GR"/>
        </w:rPr>
        <w:t xml:space="preserve"> Významný posun vidíme i v meziročním srovnání.</w:t>
      </w:r>
      <w:r w:rsidRPr="00357E3C">
        <w:rPr>
          <w:rFonts w:ascii="Arial" w:hAnsi="Arial" w:cs="Arial"/>
          <w:iCs/>
          <w:sz w:val="22"/>
          <w:lang w:eastAsia="el-GR"/>
        </w:rPr>
        <w:t xml:space="preserve"> 91</w:t>
      </w:r>
      <w:r w:rsidR="00A452EA">
        <w:rPr>
          <w:rFonts w:ascii="Arial" w:hAnsi="Arial" w:cs="Arial"/>
          <w:iCs/>
          <w:sz w:val="22"/>
          <w:lang w:eastAsia="el-GR"/>
        </w:rPr>
        <w:t> </w:t>
      </w:r>
      <w:r w:rsidRPr="00357E3C">
        <w:rPr>
          <w:rFonts w:ascii="Arial" w:hAnsi="Arial" w:cs="Arial"/>
          <w:iCs/>
          <w:sz w:val="22"/>
          <w:lang w:eastAsia="el-GR"/>
        </w:rPr>
        <w:t>% investorů</w:t>
      </w:r>
      <w:r w:rsidR="00D60039">
        <w:rPr>
          <w:rFonts w:ascii="Arial" w:hAnsi="Arial" w:cs="Arial"/>
          <w:iCs/>
          <w:sz w:val="22"/>
          <w:lang w:eastAsia="el-GR"/>
        </w:rPr>
        <w:t xml:space="preserve"> ze </w:t>
      </w:r>
      <w:r w:rsidR="00253EB6">
        <w:rPr>
          <w:rFonts w:ascii="Arial" w:hAnsi="Arial" w:cs="Arial"/>
          <w:iCs/>
          <w:sz w:val="22"/>
          <w:lang w:eastAsia="el-GR"/>
        </w:rPr>
        <w:t>s</w:t>
      </w:r>
      <w:r w:rsidR="00D60039">
        <w:rPr>
          <w:rFonts w:ascii="Arial" w:hAnsi="Arial" w:cs="Arial"/>
          <w:iCs/>
          <w:sz w:val="22"/>
          <w:lang w:eastAsia="el-GR"/>
        </w:rPr>
        <w:t>tarého kontinentu</w:t>
      </w:r>
      <w:r w:rsidRPr="00357E3C">
        <w:rPr>
          <w:rFonts w:ascii="Arial" w:hAnsi="Arial" w:cs="Arial"/>
          <w:iCs/>
          <w:sz w:val="22"/>
          <w:lang w:eastAsia="el-GR"/>
        </w:rPr>
        <w:t xml:space="preserve"> uvádí, že</w:t>
      </w:r>
      <w:r w:rsidR="00A452EA">
        <w:rPr>
          <w:rFonts w:ascii="Arial" w:hAnsi="Arial" w:cs="Arial"/>
          <w:iCs/>
          <w:sz w:val="22"/>
          <w:lang w:eastAsia="el-GR"/>
        </w:rPr>
        <w:t xml:space="preserve"> mají celofiremní pravidla o </w:t>
      </w:r>
      <w:r w:rsidRPr="00357E3C">
        <w:rPr>
          <w:rFonts w:ascii="Arial" w:hAnsi="Arial" w:cs="Arial"/>
          <w:iCs/>
          <w:sz w:val="22"/>
          <w:lang w:eastAsia="el-GR"/>
        </w:rPr>
        <w:t>odpovědné</w:t>
      </w:r>
      <w:r w:rsidR="00A452EA">
        <w:rPr>
          <w:rFonts w:ascii="Arial" w:hAnsi="Arial" w:cs="Arial"/>
          <w:iCs/>
          <w:sz w:val="22"/>
          <w:lang w:eastAsia="el-GR"/>
        </w:rPr>
        <w:t>m</w:t>
      </w:r>
      <w:r w:rsidRPr="00357E3C">
        <w:rPr>
          <w:rFonts w:ascii="Arial" w:hAnsi="Arial" w:cs="Arial"/>
          <w:iCs/>
          <w:sz w:val="22"/>
          <w:lang w:eastAsia="el-GR"/>
        </w:rPr>
        <w:t xml:space="preserve"> investování </w:t>
      </w:r>
      <w:r w:rsidR="00A452EA">
        <w:rPr>
          <w:rFonts w:ascii="Arial" w:hAnsi="Arial" w:cs="Arial"/>
          <w:iCs/>
          <w:sz w:val="22"/>
          <w:lang w:eastAsia="el-GR"/>
        </w:rPr>
        <w:t>a</w:t>
      </w:r>
      <w:r w:rsidRPr="00357E3C">
        <w:rPr>
          <w:rFonts w:ascii="Arial" w:hAnsi="Arial" w:cs="Arial"/>
          <w:iCs/>
          <w:sz w:val="22"/>
          <w:lang w:eastAsia="el-GR"/>
        </w:rPr>
        <w:t xml:space="preserve"> ESG.</w:t>
      </w:r>
      <w:r w:rsidR="00A452EA">
        <w:rPr>
          <w:rFonts w:ascii="Arial" w:hAnsi="Arial" w:cs="Arial"/>
          <w:iCs/>
          <w:sz w:val="22"/>
          <w:lang w:eastAsia="el-GR"/>
        </w:rPr>
        <w:t xml:space="preserve"> To je více než dvakrát tolik co minulý rok, kdy se takto vyjádřilo </w:t>
      </w:r>
      <w:r w:rsidR="000744DC">
        <w:rPr>
          <w:rFonts w:ascii="Arial" w:hAnsi="Arial" w:cs="Arial"/>
          <w:iCs/>
          <w:sz w:val="22"/>
          <w:lang w:eastAsia="el-GR"/>
        </w:rPr>
        <w:t xml:space="preserve">pouze </w:t>
      </w:r>
      <w:r w:rsidR="00A452EA">
        <w:rPr>
          <w:rFonts w:ascii="Arial" w:hAnsi="Arial" w:cs="Arial"/>
          <w:iCs/>
          <w:sz w:val="22"/>
          <w:lang w:eastAsia="el-GR"/>
        </w:rPr>
        <w:t>43 %.</w:t>
      </w:r>
    </w:p>
    <w:p w14:paraId="3B346FF0" w14:textId="77777777" w:rsidR="00357E3C" w:rsidRP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65B7109E" w14:textId="362D33C8" w:rsidR="00357E3C" w:rsidRPr="00357E3C" w:rsidRDefault="00A452EA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 xml:space="preserve">Z evropských emitentů </w:t>
      </w:r>
      <w:r w:rsidR="00357E3C" w:rsidRPr="00357E3C">
        <w:rPr>
          <w:rFonts w:ascii="Arial" w:hAnsi="Arial" w:cs="Arial"/>
          <w:iCs/>
          <w:sz w:val="22"/>
          <w:lang w:eastAsia="el-GR"/>
        </w:rPr>
        <w:t>27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357E3C" w:rsidRPr="00357E3C">
        <w:rPr>
          <w:rFonts w:ascii="Arial" w:hAnsi="Arial" w:cs="Arial"/>
          <w:iCs/>
          <w:sz w:val="22"/>
          <w:lang w:eastAsia="el-GR"/>
        </w:rPr>
        <w:t>% uvádí, že</w:t>
      </w:r>
      <w:r w:rsidR="000744DC">
        <w:rPr>
          <w:rFonts w:ascii="Arial" w:hAnsi="Arial" w:cs="Arial"/>
          <w:iCs/>
          <w:sz w:val="22"/>
          <w:lang w:eastAsia="el-GR"/>
        </w:rPr>
        <w:t xml:space="preserve"> ve svém podnikání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 </w:t>
      </w:r>
      <w:r w:rsidR="000744DC">
        <w:rPr>
          <w:rFonts w:ascii="Arial" w:hAnsi="Arial" w:cs="Arial"/>
          <w:iCs/>
          <w:sz w:val="22"/>
          <w:lang w:eastAsia="el-GR"/>
        </w:rPr>
        <w:t>pociťují dopady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 změn</w:t>
      </w:r>
      <w:r w:rsidR="000744DC">
        <w:rPr>
          <w:rFonts w:ascii="Arial" w:hAnsi="Arial" w:cs="Arial"/>
          <w:iCs/>
          <w:sz w:val="22"/>
          <w:lang w:eastAsia="el-GR"/>
        </w:rPr>
        <w:t>y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 klimatu, zatímco celosvětově </w:t>
      </w:r>
      <w:r>
        <w:rPr>
          <w:rFonts w:ascii="Arial" w:hAnsi="Arial" w:cs="Arial"/>
          <w:iCs/>
          <w:sz w:val="22"/>
          <w:lang w:eastAsia="el-GR"/>
        </w:rPr>
        <w:t>j</w:t>
      </w:r>
      <w:r w:rsidR="008966A9">
        <w:rPr>
          <w:rFonts w:ascii="Arial" w:hAnsi="Arial" w:cs="Arial"/>
          <w:iCs/>
          <w:sz w:val="22"/>
          <w:lang w:eastAsia="el-GR"/>
        </w:rPr>
        <w:t>e</w:t>
      </w:r>
      <w:r>
        <w:rPr>
          <w:rFonts w:ascii="Arial" w:hAnsi="Arial" w:cs="Arial"/>
          <w:iCs/>
          <w:sz w:val="22"/>
          <w:lang w:eastAsia="el-GR"/>
        </w:rPr>
        <w:t xml:space="preserve"> </w:t>
      </w:r>
      <w:r w:rsidR="008966A9">
        <w:rPr>
          <w:rFonts w:ascii="Arial" w:hAnsi="Arial" w:cs="Arial"/>
          <w:iCs/>
          <w:sz w:val="22"/>
          <w:lang w:eastAsia="el-GR"/>
        </w:rPr>
        <w:t>t</w:t>
      </w:r>
      <w:r>
        <w:rPr>
          <w:rFonts w:ascii="Arial" w:hAnsi="Arial" w:cs="Arial"/>
          <w:iCs/>
          <w:sz w:val="22"/>
          <w:lang w:eastAsia="el-GR"/>
        </w:rPr>
        <w:t>o každ</w:t>
      </w:r>
      <w:r w:rsidR="008966A9">
        <w:rPr>
          <w:rFonts w:ascii="Arial" w:hAnsi="Arial" w:cs="Arial"/>
          <w:iCs/>
          <w:sz w:val="22"/>
          <w:lang w:eastAsia="el-GR"/>
        </w:rPr>
        <w:t>ý</w:t>
      </w:r>
      <w:r>
        <w:rPr>
          <w:rFonts w:ascii="Arial" w:hAnsi="Arial" w:cs="Arial"/>
          <w:iCs/>
          <w:sz w:val="22"/>
          <w:lang w:eastAsia="el-GR"/>
        </w:rPr>
        <w:t xml:space="preserve"> druh</w:t>
      </w:r>
      <w:r w:rsidR="008966A9">
        <w:rPr>
          <w:rFonts w:ascii="Arial" w:hAnsi="Arial" w:cs="Arial"/>
          <w:iCs/>
          <w:sz w:val="22"/>
          <w:lang w:eastAsia="el-GR"/>
        </w:rPr>
        <w:t>ý</w:t>
      </w:r>
      <w:r w:rsidR="00357E3C" w:rsidRPr="00357E3C">
        <w:rPr>
          <w:rFonts w:ascii="Arial" w:hAnsi="Arial" w:cs="Arial"/>
          <w:iCs/>
          <w:sz w:val="22"/>
          <w:lang w:eastAsia="el-GR"/>
        </w:rPr>
        <w:t>. 72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357E3C" w:rsidRPr="00357E3C">
        <w:rPr>
          <w:rFonts w:ascii="Arial" w:hAnsi="Arial" w:cs="Arial"/>
          <w:iCs/>
          <w:sz w:val="22"/>
          <w:lang w:eastAsia="el-GR"/>
        </w:rPr>
        <w:t>%</w:t>
      </w:r>
      <w:r w:rsidR="000744DC">
        <w:rPr>
          <w:rFonts w:ascii="Arial" w:hAnsi="Arial" w:cs="Arial"/>
          <w:iCs/>
          <w:sz w:val="22"/>
          <w:lang w:eastAsia="el-GR"/>
        </w:rPr>
        <w:t xml:space="preserve"> pak</w:t>
      </w:r>
      <w:r w:rsidR="00357E3C" w:rsidRPr="00357E3C">
        <w:rPr>
          <w:rFonts w:ascii="Arial" w:hAnsi="Arial" w:cs="Arial"/>
          <w:iCs/>
          <w:sz w:val="22"/>
          <w:lang w:eastAsia="el-GR"/>
        </w:rPr>
        <w:t xml:space="preserve"> </w:t>
      </w:r>
      <w:r w:rsidR="00933743">
        <w:rPr>
          <w:rFonts w:ascii="Arial" w:hAnsi="Arial" w:cs="Arial"/>
          <w:iCs/>
          <w:sz w:val="22"/>
          <w:lang w:eastAsia="el-GR"/>
        </w:rPr>
        <w:t xml:space="preserve">zvažuje </w:t>
      </w:r>
      <w:r w:rsidR="00357E3C" w:rsidRPr="00357E3C">
        <w:rPr>
          <w:rFonts w:ascii="Arial" w:hAnsi="Arial" w:cs="Arial"/>
          <w:iCs/>
          <w:sz w:val="22"/>
          <w:lang w:eastAsia="el-GR"/>
        </w:rPr>
        <w:t>omezení nebo ukončení některých podnikatelských aktivit, které by mohly být změnou klimatu</w:t>
      </w:r>
      <w:r w:rsidR="000744DC">
        <w:rPr>
          <w:rFonts w:ascii="Arial" w:hAnsi="Arial" w:cs="Arial"/>
          <w:iCs/>
          <w:sz w:val="22"/>
          <w:lang w:eastAsia="el-GR"/>
        </w:rPr>
        <w:t xml:space="preserve"> ohroženy – opět nejvíce ve srovnání s ostatními regiony ve světě</w:t>
      </w:r>
      <w:r w:rsidR="00933743">
        <w:rPr>
          <w:rFonts w:ascii="Arial" w:hAnsi="Arial" w:cs="Arial"/>
          <w:iCs/>
          <w:sz w:val="22"/>
          <w:lang w:eastAsia="el-GR"/>
        </w:rPr>
        <w:t>.</w:t>
      </w:r>
    </w:p>
    <w:p w14:paraId="3B0573B6" w14:textId="77777777" w:rsidR="00357E3C" w:rsidRPr="00357E3C" w:rsidRDefault="00357E3C" w:rsidP="00357E3C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659D9FFB" w14:textId="7F284722" w:rsidR="00933743" w:rsidRPr="00933743" w:rsidRDefault="00357E3C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357E3C">
        <w:rPr>
          <w:rFonts w:ascii="Arial" w:hAnsi="Arial" w:cs="Arial"/>
          <w:iCs/>
          <w:sz w:val="22"/>
          <w:lang w:eastAsia="el-GR"/>
        </w:rPr>
        <w:t>Současně 68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357E3C">
        <w:rPr>
          <w:rFonts w:ascii="Arial" w:hAnsi="Arial" w:cs="Arial"/>
          <w:iCs/>
          <w:sz w:val="22"/>
          <w:lang w:eastAsia="el-GR"/>
        </w:rPr>
        <w:t xml:space="preserve">% všech dotázaných společností </w:t>
      </w:r>
      <w:r w:rsidR="00060810">
        <w:rPr>
          <w:rFonts w:ascii="Arial" w:hAnsi="Arial" w:cs="Arial"/>
          <w:iCs/>
          <w:sz w:val="22"/>
          <w:lang w:eastAsia="el-GR"/>
        </w:rPr>
        <w:t>z</w:t>
      </w:r>
      <w:r w:rsidRPr="00357E3C">
        <w:rPr>
          <w:rFonts w:ascii="Arial" w:hAnsi="Arial" w:cs="Arial"/>
          <w:iCs/>
          <w:sz w:val="22"/>
          <w:lang w:eastAsia="el-GR"/>
        </w:rPr>
        <w:t xml:space="preserve"> </w:t>
      </w:r>
      <w:r w:rsidR="00933743">
        <w:rPr>
          <w:rFonts w:ascii="Arial" w:hAnsi="Arial" w:cs="Arial"/>
          <w:iCs/>
          <w:sz w:val="22"/>
          <w:lang w:eastAsia="el-GR"/>
        </w:rPr>
        <w:t>Evrop</w:t>
      </w:r>
      <w:r w:rsidR="00060810">
        <w:rPr>
          <w:rFonts w:ascii="Arial" w:hAnsi="Arial" w:cs="Arial"/>
          <w:iCs/>
          <w:sz w:val="22"/>
          <w:lang w:eastAsia="el-GR"/>
        </w:rPr>
        <w:t>y</w:t>
      </w:r>
      <w:r w:rsidRPr="00357E3C">
        <w:rPr>
          <w:rFonts w:ascii="Arial" w:hAnsi="Arial" w:cs="Arial"/>
          <w:iCs/>
          <w:sz w:val="22"/>
          <w:lang w:eastAsia="el-GR"/>
        </w:rPr>
        <w:t xml:space="preserve"> </w:t>
      </w:r>
      <w:r w:rsidR="00933743">
        <w:rPr>
          <w:rFonts w:ascii="Arial" w:hAnsi="Arial" w:cs="Arial"/>
          <w:iCs/>
          <w:sz w:val="22"/>
          <w:lang w:eastAsia="el-GR"/>
        </w:rPr>
        <w:t>přemýšlí nad tím</w:t>
      </w:r>
      <w:r w:rsidR="00253EB6">
        <w:rPr>
          <w:rFonts w:ascii="Arial" w:hAnsi="Arial" w:cs="Arial"/>
          <w:iCs/>
          <w:sz w:val="22"/>
          <w:lang w:eastAsia="el-GR"/>
        </w:rPr>
        <w:t>,</w:t>
      </w:r>
      <w:r w:rsidR="00933743">
        <w:rPr>
          <w:rFonts w:ascii="Arial" w:hAnsi="Arial" w:cs="Arial"/>
          <w:iCs/>
          <w:sz w:val="22"/>
          <w:lang w:eastAsia="el-GR"/>
        </w:rPr>
        <w:t xml:space="preserve"> začít nebo rozvíjet podnikatelské aktivity, které budou profitovat z řešení klimatické změny.</w:t>
      </w:r>
    </w:p>
    <w:p w14:paraId="50EB5BFB" w14:textId="77777777" w:rsidR="00933743" w:rsidRDefault="00933743" w:rsidP="00664AF1">
      <w:pPr>
        <w:spacing w:line="360" w:lineRule="auto"/>
        <w:jc w:val="both"/>
        <w:rPr>
          <w:rFonts w:ascii="Arial" w:hAnsi="Arial" w:cs="Arial"/>
          <w:i/>
          <w:sz w:val="22"/>
          <w:lang w:eastAsia="el-GR"/>
        </w:rPr>
      </w:pPr>
    </w:p>
    <w:p w14:paraId="2C9B881C" w14:textId="2DF33D74" w:rsidR="00933743" w:rsidRPr="0093374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F12D13">
        <w:rPr>
          <w:rFonts w:ascii="Arial" w:hAnsi="Arial" w:cs="Arial"/>
          <w:i/>
          <w:sz w:val="22"/>
          <w:lang w:eastAsia="el-GR"/>
        </w:rPr>
        <w:lastRenderedPageBreak/>
        <w:t>„</w:t>
      </w:r>
      <w:r w:rsidR="00933743" w:rsidRPr="00933743">
        <w:rPr>
          <w:rFonts w:ascii="Arial" w:hAnsi="Arial" w:cs="Arial"/>
          <w:i/>
          <w:sz w:val="22"/>
          <w:lang w:eastAsia="el-GR"/>
        </w:rPr>
        <w:t>Výsledky průzkumu ukazují, že</w:t>
      </w:r>
      <w:r w:rsidR="00933743">
        <w:rPr>
          <w:rFonts w:ascii="Arial" w:hAnsi="Arial" w:cs="Arial"/>
          <w:i/>
          <w:sz w:val="22"/>
          <w:lang w:eastAsia="el-GR"/>
        </w:rPr>
        <w:t xml:space="preserve"> se </w:t>
      </w:r>
      <w:r w:rsidR="00933743" w:rsidRPr="00933743">
        <w:rPr>
          <w:rFonts w:ascii="Arial" w:hAnsi="Arial" w:cs="Arial"/>
          <w:i/>
          <w:sz w:val="22"/>
          <w:lang w:eastAsia="el-GR"/>
        </w:rPr>
        <w:t xml:space="preserve">tempo změn směrem k udržitelnější budoucnosti </w:t>
      </w:r>
      <w:r w:rsidR="00060810" w:rsidRPr="00933743">
        <w:rPr>
          <w:rFonts w:ascii="Arial" w:hAnsi="Arial" w:cs="Arial"/>
          <w:i/>
          <w:sz w:val="22"/>
          <w:lang w:eastAsia="el-GR"/>
        </w:rPr>
        <w:t>v</w:t>
      </w:r>
      <w:r w:rsidR="00253EB6">
        <w:rPr>
          <w:rFonts w:ascii="Arial" w:hAnsi="Arial" w:cs="Arial"/>
          <w:i/>
          <w:sz w:val="22"/>
          <w:lang w:eastAsia="el-GR"/>
        </w:rPr>
        <w:t> </w:t>
      </w:r>
      <w:r w:rsidR="00060810" w:rsidRPr="00933743">
        <w:rPr>
          <w:rFonts w:ascii="Arial" w:hAnsi="Arial" w:cs="Arial"/>
          <w:i/>
          <w:sz w:val="22"/>
          <w:lang w:eastAsia="el-GR"/>
        </w:rPr>
        <w:t>Evropě i celosvětově</w:t>
      </w:r>
      <w:r w:rsidR="00060810">
        <w:rPr>
          <w:rFonts w:ascii="Arial" w:hAnsi="Arial" w:cs="Arial"/>
          <w:i/>
          <w:sz w:val="22"/>
          <w:lang w:eastAsia="el-GR"/>
        </w:rPr>
        <w:t xml:space="preserve"> </w:t>
      </w:r>
      <w:r w:rsidR="00933743" w:rsidRPr="00933743">
        <w:rPr>
          <w:rFonts w:ascii="Arial" w:hAnsi="Arial" w:cs="Arial"/>
          <w:i/>
          <w:sz w:val="22"/>
          <w:lang w:eastAsia="el-GR"/>
        </w:rPr>
        <w:t xml:space="preserve">rok od roku zrychluje. Tento trend je zřejmý i v České republice, soudě podle diskusí, které vedeme s našimi klienty. V HSBC jsme v loňském roce oznámili náš závazek </w:t>
      </w:r>
      <w:r w:rsidR="00590314">
        <w:rPr>
          <w:rFonts w:ascii="Arial" w:hAnsi="Arial" w:cs="Arial"/>
          <w:i/>
          <w:sz w:val="22"/>
          <w:lang w:eastAsia="el-GR"/>
        </w:rPr>
        <w:t xml:space="preserve">finančně </w:t>
      </w:r>
      <w:r w:rsidR="00933743" w:rsidRPr="00933743">
        <w:rPr>
          <w:rFonts w:ascii="Arial" w:hAnsi="Arial" w:cs="Arial"/>
          <w:i/>
          <w:sz w:val="22"/>
          <w:lang w:eastAsia="el-GR"/>
        </w:rPr>
        <w:t>podpo</w:t>
      </w:r>
      <w:r w:rsidR="00933743">
        <w:rPr>
          <w:rFonts w:ascii="Arial" w:hAnsi="Arial" w:cs="Arial"/>
          <w:i/>
          <w:sz w:val="22"/>
          <w:lang w:eastAsia="el-GR"/>
        </w:rPr>
        <w:t>řit</w:t>
      </w:r>
      <w:r w:rsidR="00933743" w:rsidRPr="00933743">
        <w:rPr>
          <w:rFonts w:ascii="Arial" w:hAnsi="Arial" w:cs="Arial"/>
          <w:i/>
          <w:sz w:val="22"/>
          <w:lang w:eastAsia="el-GR"/>
        </w:rPr>
        <w:t xml:space="preserve"> klienty při přechodu na udržitelnější způsob podnikání.</w:t>
      </w:r>
      <w:r w:rsidR="00590314">
        <w:rPr>
          <w:rFonts w:ascii="Arial" w:hAnsi="Arial" w:cs="Arial"/>
          <w:i/>
          <w:sz w:val="22"/>
          <w:lang w:eastAsia="el-GR"/>
        </w:rPr>
        <w:t xml:space="preserve"> Společně se znalostí českého trhu </w:t>
      </w:r>
      <w:r w:rsidR="00060810">
        <w:rPr>
          <w:rFonts w:ascii="Arial" w:hAnsi="Arial" w:cs="Arial"/>
          <w:i/>
          <w:sz w:val="22"/>
          <w:lang w:eastAsia="el-GR"/>
        </w:rPr>
        <w:t>našim klientům</w:t>
      </w:r>
      <w:r w:rsidR="00590314">
        <w:rPr>
          <w:rFonts w:ascii="Arial" w:hAnsi="Arial" w:cs="Arial"/>
          <w:i/>
          <w:sz w:val="22"/>
          <w:lang w:eastAsia="el-GR"/>
        </w:rPr>
        <w:t xml:space="preserve"> nabízíme i široké spektrum zkušeností z celého světa,</w:t>
      </w:r>
      <w:r w:rsidR="00933743">
        <w:rPr>
          <w:rFonts w:ascii="Arial" w:hAnsi="Arial" w:cs="Arial"/>
          <w:i/>
          <w:sz w:val="22"/>
          <w:lang w:eastAsia="el-GR"/>
        </w:rPr>
        <w:t xml:space="preserve">“ </w:t>
      </w:r>
      <w:r w:rsidR="00933743" w:rsidRPr="00933743">
        <w:rPr>
          <w:rFonts w:ascii="Arial" w:hAnsi="Arial" w:cs="Arial"/>
          <w:iCs/>
          <w:sz w:val="22"/>
          <w:lang w:eastAsia="el-GR"/>
        </w:rPr>
        <w:t xml:space="preserve">říká Richard </w:t>
      </w:r>
      <w:proofErr w:type="spellStart"/>
      <w:r w:rsidR="00933743" w:rsidRPr="00933743">
        <w:rPr>
          <w:rFonts w:ascii="Arial" w:hAnsi="Arial" w:cs="Arial"/>
          <w:iCs/>
          <w:sz w:val="22"/>
          <w:lang w:eastAsia="el-GR"/>
        </w:rPr>
        <w:t>Keery</w:t>
      </w:r>
      <w:proofErr w:type="spellEnd"/>
      <w:r w:rsidR="00933743" w:rsidRPr="00933743">
        <w:rPr>
          <w:rFonts w:ascii="Arial" w:hAnsi="Arial" w:cs="Arial"/>
          <w:iCs/>
          <w:sz w:val="22"/>
          <w:lang w:eastAsia="el-GR"/>
        </w:rPr>
        <w:t>, generální ředitel HSBC v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="00933743" w:rsidRPr="00933743">
        <w:rPr>
          <w:rFonts w:ascii="Arial" w:hAnsi="Arial" w:cs="Arial"/>
          <w:iCs/>
          <w:sz w:val="22"/>
          <w:lang w:eastAsia="el-GR"/>
        </w:rPr>
        <w:t>České republice</w:t>
      </w:r>
      <w:r w:rsidR="00933743">
        <w:rPr>
          <w:rFonts w:ascii="Arial" w:hAnsi="Arial" w:cs="Arial"/>
          <w:iCs/>
          <w:sz w:val="22"/>
          <w:lang w:eastAsia="el-GR"/>
        </w:rPr>
        <w:t>.</w:t>
      </w:r>
    </w:p>
    <w:p w14:paraId="04AE7D3B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17314750" w14:textId="44C37A92" w:rsidR="00590314" w:rsidRPr="00590314" w:rsidRDefault="00590314" w:rsidP="00590314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590314">
        <w:rPr>
          <w:rFonts w:ascii="Arial" w:hAnsi="Arial" w:cs="Arial"/>
          <w:iCs/>
          <w:sz w:val="22"/>
          <w:lang w:eastAsia="el-GR"/>
        </w:rPr>
        <w:t xml:space="preserve">Stále více evropských investorů tvrdí, že jim nyní nic nebrání v investování na základě environmentálních, sociálních a správních </w:t>
      </w:r>
      <w:r w:rsidR="008966A9">
        <w:rPr>
          <w:rFonts w:ascii="Arial" w:hAnsi="Arial" w:cs="Arial"/>
          <w:iCs/>
          <w:sz w:val="22"/>
          <w:lang w:eastAsia="el-GR"/>
        </w:rPr>
        <w:t>kritérií</w:t>
      </w:r>
      <w:r w:rsidRPr="00590314">
        <w:rPr>
          <w:rFonts w:ascii="Arial" w:hAnsi="Arial" w:cs="Arial"/>
          <w:iCs/>
          <w:sz w:val="22"/>
          <w:lang w:eastAsia="el-GR"/>
        </w:rPr>
        <w:t xml:space="preserve"> (ESG)</w:t>
      </w:r>
      <w:r w:rsidR="00B41BEE">
        <w:rPr>
          <w:rFonts w:ascii="Arial" w:hAnsi="Arial" w:cs="Arial"/>
          <w:iCs/>
          <w:sz w:val="22"/>
          <w:lang w:eastAsia="el-GR"/>
        </w:rPr>
        <w:t xml:space="preserve"> – </w:t>
      </w:r>
      <w:r w:rsidRPr="00590314">
        <w:rPr>
          <w:rFonts w:ascii="Arial" w:hAnsi="Arial" w:cs="Arial"/>
          <w:iCs/>
          <w:sz w:val="22"/>
          <w:lang w:eastAsia="el-GR"/>
        </w:rPr>
        <w:t>88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>% oproti 54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 xml:space="preserve">% v </w:t>
      </w:r>
      <w:r w:rsidR="00B41BEE">
        <w:rPr>
          <w:rFonts w:ascii="Arial" w:hAnsi="Arial" w:cs="Arial"/>
          <w:iCs/>
          <w:sz w:val="22"/>
          <w:lang w:eastAsia="el-GR"/>
        </w:rPr>
        <w:t>minulém</w:t>
      </w:r>
      <w:r w:rsidRPr="00590314">
        <w:rPr>
          <w:rFonts w:ascii="Arial" w:hAnsi="Arial" w:cs="Arial"/>
          <w:iCs/>
          <w:sz w:val="22"/>
          <w:lang w:eastAsia="el-GR"/>
        </w:rPr>
        <w:t xml:space="preserve"> roce. </w:t>
      </w:r>
      <w:r w:rsidR="00B41BEE">
        <w:rPr>
          <w:rFonts w:ascii="Arial" w:hAnsi="Arial" w:cs="Arial"/>
          <w:iCs/>
          <w:sz w:val="22"/>
          <w:lang w:eastAsia="el-GR"/>
        </w:rPr>
        <w:t>Ve srovnání s celosvětovým průměrem činícím</w:t>
      </w:r>
      <w:r w:rsidRPr="00590314">
        <w:rPr>
          <w:rFonts w:ascii="Arial" w:hAnsi="Arial" w:cs="Arial"/>
          <w:iCs/>
          <w:sz w:val="22"/>
          <w:lang w:eastAsia="el-GR"/>
        </w:rPr>
        <w:t xml:space="preserve"> 64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 xml:space="preserve">% je to nejvyšší </w:t>
      </w:r>
      <w:r w:rsidR="00B41BEE">
        <w:rPr>
          <w:rFonts w:ascii="Arial" w:hAnsi="Arial" w:cs="Arial"/>
          <w:iCs/>
          <w:sz w:val="22"/>
          <w:lang w:eastAsia="el-GR"/>
        </w:rPr>
        <w:t>podíl respondentů</w:t>
      </w:r>
      <w:r w:rsidRPr="00590314">
        <w:rPr>
          <w:rFonts w:ascii="Arial" w:hAnsi="Arial" w:cs="Arial"/>
          <w:iCs/>
          <w:sz w:val="22"/>
          <w:lang w:eastAsia="el-GR"/>
        </w:rPr>
        <w:t xml:space="preserve"> </w:t>
      </w:r>
      <w:r w:rsidR="008966A9">
        <w:rPr>
          <w:rFonts w:ascii="Arial" w:hAnsi="Arial" w:cs="Arial"/>
          <w:iCs/>
          <w:sz w:val="22"/>
          <w:lang w:eastAsia="el-GR"/>
        </w:rPr>
        <w:t>na světě</w:t>
      </w:r>
      <w:r w:rsidRPr="00590314">
        <w:rPr>
          <w:rFonts w:ascii="Arial" w:hAnsi="Arial" w:cs="Arial"/>
          <w:iCs/>
          <w:sz w:val="22"/>
          <w:lang w:eastAsia="el-GR"/>
        </w:rPr>
        <w:t>. Z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>12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 xml:space="preserve">% těch, kteří </w:t>
      </w:r>
      <w:r w:rsidR="00B41BEE">
        <w:rPr>
          <w:rFonts w:ascii="Arial" w:hAnsi="Arial" w:cs="Arial"/>
          <w:iCs/>
          <w:sz w:val="22"/>
          <w:lang w:eastAsia="el-GR"/>
        </w:rPr>
        <w:t>stále vnímají překážky v investování do ESG,</w:t>
      </w:r>
      <w:r w:rsidRPr="00590314">
        <w:rPr>
          <w:rFonts w:ascii="Arial" w:hAnsi="Arial" w:cs="Arial"/>
          <w:iCs/>
          <w:sz w:val="22"/>
          <w:lang w:eastAsia="el-GR"/>
        </w:rPr>
        <w:t xml:space="preserve"> uvádí</w:t>
      </w:r>
      <w:r w:rsidR="008966A9">
        <w:rPr>
          <w:rFonts w:ascii="Arial" w:hAnsi="Arial" w:cs="Arial"/>
          <w:iCs/>
          <w:sz w:val="22"/>
          <w:lang w:eastAsia="el-GR"/>
        </w:rPr>
        <w:t xml:space="preserve"> 43 %</w:t>
      </w:r>
      <w:r w:rsidR="00B41BEE">
        <w:rPr>
          <w:rFonts w:ascii="Arial" w:hAnsi="Arial" w:cs="Arial"/>
          <w:iCs/>
          <w:sz w:val="22"/>
          <w:lang w:eastAsia="el-GR"/>
        </w:rPr>
        <w:t xml:space="preserve"> jako hlavní důvod</w:t>
      </w:r>
      <w:r w:rsidRPr="00590314">
        <w:rPr>
          <w:rFonts w:ascii="Arial" w:hAnsi="Arial" w:cs="Arial"/>
          <w:iCs/>
          <w:sz w:val="22"/>
          <w:lang w:eastAsia="el-GR"/>
        </w:rPr>
        <w:t xml:space="preserve"> nedostat</w:t>
      </w:r>
      <w:r w:rsidR="00B41BEE">
        <w:rPr>
          <w:rFonts w:ascii="Arial" w:hAnsi="Arial" w:cs="Arial"/>
          <w:iCs/>
          <w:sz w:val="22"/>
          <w:lang w:eastAsia="el-GR"/>
        </w:rPr>
        <w:t>ek</w:t>
      </w:r>
      <w:r w:rsidRPr="00590314">
        <w:rPr>
          <w:rFonts w:ascii="Arial" w:hAnsi="Arial" w:cs="Arial"/>
          <w:iCs/>
          <w:sz w:val="22"/>
          <w:lang w:eastAsia="el-GR"/>
        </w:rPr>
        <w:t xml:space="preserve"> odborných znalostí nebo kvalifikovaných pracovníků.</w:t>
      </w:r>
    </w:p>
    <w:p w14:paraId="5889935D" w14:textId="77777777" w:rsidR="00590314" w:rsidRPr="00590314" w:rsidRDefault="00590314" w:rsidP="00590314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30E745AE" w14:textId="725F6C22" w:rsidR="00590314" w:rsidRPr="00590314" w:rsidRDefault="00590314" w:rsidP="00590314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590314">
        <w:rPr>
          <w:rFonts w:ascii="Arial" w:hAnsi="Arial" w:cs="Arial"/>
          <w:iCs/>
          <w:sz w:val="22"/>
          <w:lang w:eastAsia="el-GR"/>
        </w:rPr>
        <w:t xml:space="preserve">Evropští investoři </w:t>
      </w:r>
      <w:r w:rsidR="00DC62FB">
        <w:rPr>
          <w:rFonts w:ascii="Arial" w:hAnsi="Arial" w:cs="Arial"/>
          <w:iCs/>
          <w:sz w:val="22"/>
          <w:lang w:eastAsia="el-GR"/>
        </w:rPr>
        <w:t>trvají na tom</w:t>
      </w:r>
      <w:r w:rsidRPr="00590314">
        <w:rPr>
          <w:rFonts w:ascii="Arial" w:hAnsi="Arial" w:cs="Arial"/>
          <w:iCs/>
          <w:sz w:val="22"/>
          <w:lang w:eastAsia="el-GR"/>
        </w:rPr>
        <w:t xml:space="preserve">, že </w:t>
      </w:r>
      <w:r w:rsidR="00B41BEE">
        <w:rPr>
          <w:rFonts w:ascii="Arial" w:hAnsi="Arial" w:cs="Arial"/>
          <w:iCs/>
          <w:sz w:val="22"/>
          <w:lang w:eastAsia="el-GR"/>
        </w:rPr>
        <w:t xml:space="preserve">se </w:t>
      </w:r>
      <w:r w:rsidRPr="00590314">
        <w:rPr>
          <w:rFonts w:ascii="Arial" w:hAnsi="Arial" w:cs="Arial"/>
          <w:iCs/>
          <w:sz w:val="22"/>
          <w:lang w:eastAsia="el-GR"/>
        </w:rPr>
        <w:t xml:space="preserve">emitenti musí zlepšit </w:t>
      </w:r>
      <w:r w:rsidR="00B41BEE">
        <w:rPr>
          <w:rFonts w:ascii="Arial" w:hAnsi="Arial" w:cs="Arial"/>
          <w:iCs/>
          <w:sz w:val="22"/>
          <w:lang w:eastAsia="el-GR"/>
        </w:rPr>
        <w:t xml:space="preserve">ve </w:t>
      </w:r>
      <w:r w:rsidRPr="00590314">
        <w:rPr>
          <w:rFonts w:ascii="Arial" w:hAnsi="Arial" w:cs="Arial"/>
          <w:iCs/>
          <w:sz w:val="22"/>
          <w:lang w:eastAsia="el-GR"/>
        </w:rPr>
        <w:t xml:space="preserve">zveřejňování informací </w:t>
      </w:r>
      <w:r w:rsidR="00DC62FB">
        <w:rPr>
          <w:rFonts w:ascii="Arial" w:hAnsi="Arial" w:cs="Arial"/>
          <w:iCs/>
          <w:sz w:val="22"/>
          <w:lang w:eastAsia="el-GR"/>
        </w:rPr>
        <w:t>ve</w:t>
      </w:r>
      <w:r w:rsidR="00B41BEE">
        <w:rPr>
          <w:rFonts w:ascii="Arial" w:hAnsi="Arial" w:cs="Arial"/>
          <w:iCs/>
          <w:sz w:val="22"/>
          <w:lang w:eastAsia="el-GR"/>
        </w:rPr>
        <w:t xml:space="preserve"> vztahu k </w:t>
      </w:r>
      <w:r w:rsidRPr="00590314">
        <w:rPr>
          <w:rFonts w:ascii="Arial" w:hAnsi="Arial" w:cs="Arial"/>
          <w:iCs/>
          <w:sz w:val="22"/>
          <w:lang w:eastAsia="el-GR"/>
        </w:rPr>
        <w:t>životním</w:t>
      </w:r>
      <w:r w:rsidR="00B41BEE">
        <w:rPr>
          <w:rFonts w:ascii="Arial" w:hAnsi="Arial" w:cs="Arial"/>
          <w:iCs/>
          <w:sz w:val="22"/>
          <w:lang w:eastAsia="el-GR"/>
        </w:rPr>
        <w:t>u</w:t>
      </w:r>
      <w:r w:rsidRPr="00590314">
        <w:rPr>
          <w:rFonts w:ascii="Arial" w:hAnsi="Arial" w:cs="Arial"/>
          <w:iCs/>
          <w:sz w:val="22"/>
          <w:lang w:eastAsia="el-GR"/>
        </w:rPr>
        <w:t xml:space="preserve"> prostředí</w:t>
      </w:r>
      <w:r w:rsidR="00253EB6">
        <w:rPr>
          <w:rFonts w:ascii="Arial" w:hAnsi="Arial" w:cs="Arial"/>
          <w:iCs/>
          <w:sz w:val="22"/>
          <w:lang w:eastAsia="el-GR"/>
        </w:rPr>
        <w:t>, a</w:t>
      </w:r>
      <w:r w:rsidRPr="00590314">
        <w:rPr>
          <w:rFonts w:ascii="Arial" w:hAnsi="Arial" w:cs="Arial"/>
          <w:iCs/>
          <w:sz w:val="22"/>
          <w:lang w:eastAsia="el-GR"/>
        </w:rPr>
        <w:t xml:space="preserve"> 38</w:t>
      </w:r>
      <w:r w:rsidR="00253EB6">
        <w:rPr>
          <w:rFonts w:ascii="Arial" w:hAnsi="Arial" w:cs="Arial"/>
          <w:iCs/>
          <w:sz w:val="22"/>
          <w:lang w:eastAsia="el-GR"/>
        </w:rPr>
        <w:t> </w:t>
      </w:r>
      <w:r w:rsidRPr="00590314">
        <w:rPr>
          <w:rFonts w:ascii="Arial" w:hAnsi="Arial" w:cs="Arial"/>
          <w:iCs/>
          <w:sz w:val="22"/>
          <w:lang w:eastAsia="el-GR"/>
        </w:rPr>
        <w:t xml:space="preserve">% </w:t>
      </w:r>
      <w:r w:rsidR="00253EB6">
        <w:rPr>
          <w:rFonts w:ascii="Arial" w:hAnsi="Arial" w:cs="Arial"/>
          <w:iCs/>
          <w:sz w:val="22"/>
          <w:lang w:eastAsia="el-GR"/>
        </w:rPr>
        <w:t xml:space="preserve">z nich </w:t>
      </w:r>
      <w:r w:rsidR="00B41BEE">
        <w:rPr>
          <w:rFonts w:ascii="Arial" w:hAnsi="Arial" w:cs="Arial"/>
          <w:iCs/>
          <w:sz w:val="22"/>
          <w:lang w:eastAsia="el-GR"/>
        </w:rPr>
        <w:t>považuje současný stav za nedostatečný</w:t>
      </w:r>
      <w:r w:rsidRPr="00590314">
        <w:rPr>
          <w:rFonts w:ascii="Arial" w:hAnsi="Arial" w:cs="Arial"/>
          <w:iCs/>
          <w:sz w:val="22"/>
          <w:lang w:eastAsia="el-GR"/>
        </w:rPr>
        <w:t xml:space="preserve">. </w:t>
      </w:r>
      <w:r w:rsidR="00B41BEE">
        <w:rPr>
          <w:rFonts w:ascii="Arial" w:hAnsi="Arial" w:cs="Arial"/>
          <w:iCs/>
          <w:sz w:val="22"/>
          <w:lang w:eastAsia="el-GR"/>
        </w:rPr>
        <w:t>Dvě třetiny se také o</w:t>
      </w:r>
      <w:r w:rsidRPr="00590314">
        <w:rPr>
          <w:rFonts w:ascii="Arial" w:hAnsi="Arial" w:cs="Arial"/>
          <w:iCs/>
          <w:sz w:val="22"/>
          <w:lang w:eastAsia="el-GR"/>
        </w:rPr>
        <w:t xml:space="preserve">bávají </w:t>
      </w:r>
      <w:r w:rsidR="00B41BEE">
        <w:rPr>
          <w:rFonts w:ascii="Arial" w:hAnsi="Arial" w:cs="Arial"/>
          <w:iCs/>
          <w:sz w:val="22"/>
          <w:lang w:eastAsia="el-GR"/>
        </w:rPr>
        <w:t xml:space="preserve">tzv. </w:t>
      </w:r>
      <w:proofErr w:type="spellStart"/>
      <w:r w:rsidRPr="00590314">
        <w:rPr>
          <w:rFonts w:ascii="Arial" w:hAnsi="Arial" w:cs="Arial"/>
          <w:iCs/>
          <w:sz w:val="22"/>
          <w:lang w:eastAsia="el-GR"/>
        </w:rPr>
        <w:t>greenwashingu</w:t>
      </w:r>
      <w:proofErr w:type="spellEnd"/>
      <w:r w:rsidRPr="00590314">
        <w:rPr>
          <w:rFonts w:ascii="Arial" w:hAnsi="Arial" w:cs="Arial"/>
          <w:iCs/>
          <w:sz w:val="22"/>
          <w:lang w:eastAsia="el-GR"/>
        </w:rPr>
        <w:t xml:space="preserve">, tedy nepravdivých tvrzení o přínosech </w:t>
      </w:r>
      <w:r w:rsidR="008966A9">
        <w:rPr>
          <w:rFonts w:ascii="Arial" w:hAnsi="Arial" w:cs="Arial"/>
          <w:iCs/>
          <w:sz w:val="22"/>
          <w:lang w:eastAsia="el-GR"/>
        </w:rPr>
        <w:t xml:space="preserve">firemních aktivit </w:t>
      </w:r>
      <w:r w:rsidRPr="00590314">
        <w:rPr>
          <w:rFonts w:ascii="Arial" w:hAnsi="Arial" w:cs="Arial"/>
          <w:iCs/>
          <w:sz w:val="22"/>
          <w:lang w:eastAsia="el-GR"/>
        </w:rPr>
        <w:t xml:space="preserve">pro životní prostředí. </w:t>
      </w:r>
    </w:p>
    <w:p w14:paraId="3368F775" w14:textId="77777777" w:rsidR="00590314" w:rsidRPr="00590314" w:rsidRDefault="00590314" w:rsidP="00590314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63E4E833" w14:textId="205C8A18" w:rsidR="00664AF1" w:rsidRDefault="00DC62FB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>V současné době již existují iniciativy, například v oblasti infrastruktury, které se snaží vytvořit systém udržitelných kritérií a jejich nezávislého ověřování</w:t>
      </w:r>
      <w:r w:rsidR="00590314" w:rsidRPr="00590314">
        <w:rPr>
          <w:rFonts w:ascii="Arial" w:hAnsi="Arial" w:cs="Arial"/>
          <w:iCs/>
          <w:sz w:val="22"/>
          <w:lang w:eastAsia="el-GR"/>
        </w:rPr>
        <w:t>. 64</w:t>
      </w:r>
      <w:r>
        <w:rPr>
          <w:rFonts w:ascii="Arial" w:hAnsi="Arial" w:cs="Arial"/>
          <w:iCs/>
          <w:sz w:val="22"/>
          <w:lang w:eastAsia="el-GR"/>
        </w:rPr>
        <w:t> </w:t>
      </w:r>
      <w:r w:rsidR="00590314" w:rsidRPr="00590314">
        <w:rPr>
          <w:rFonts w:ascii="Arial" w:hAnsi="Arial" w:cs="Arial"/>
          <w:iCs/>
          <w:sz w:val="22"/>
          <w:lang w:eastAsia="el-GR"/>
        </w:rPr>
        <w:t xml:space="preserve">% evropských investorů uvedlo, že by si byli mnohem jistější při investování do udržitelné infrastruktury, pokud by byl takový systém </w:t>
      </w:r>
      <w:r>
        <w:rPr>
          <w:rFonts w:ascii="Arial" w:hAnsi="Arial" w:cs="Arial"/>
          <w:iCs/>
          <w:sz w:val="22"/>
          <w:lang w:eastAsia="el-GR"/>
        </w:rPr>
        <w:t>kritérií</w:t>
      </w:r>
      <w:r w:rsidR="00590314" w:rsidRPr="00590314">
        <w:rPr>
          <w:rFonts w:ascii="Arial" w:hAnsi="Arial" w:cs="Arial"/>
          <w:iCs/>
          <w:sz w:val="22"/>
          <w:lang w:eastAsia="el-GR"/>
        </w:rPr>
        <w:t xml:space="preserve"> zaveden.  </w:t>
      </w:r>
    </w:p>
    <w:p w14:paraId="192A7457" w14:textId="0CBDFB3C" w:rsidR="008966A9" w:rsidRDefault="008966A9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6F5BE72A" w14:textId="6CDA5482" w:rsidR="008966A9" w:rsidRPr="00F12D13" w:rsidRDefault="008966A9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proofErr w:type="spellStart"/>
      <w:r w:rsidRPr="00590314">
        <w:rPr>
          <w:rFonts w:ascii="Arial" w:hAnsi="Arial" w:cs="Arial"/>
          <w:iCs/>
          <w:sz w:val="22"/>
          <w:lang w:eastAsia="el-GR"/>
        </w:rPr>
        <w:t>Colin</w:t>
      </w:r>
      <w:proofErr w:type="spellEnd"/>
      <w:r w:rsidRPr="00590314">
        <w:rPr>
          <w:rFonts w:ascii="Arial" w:hAnsi="Arial" w:cs="Arial"/>
          <w:iCs/>
          <w:sz w:val="22"/>
          <w:lang w:eastAsia="el-GR"/>
        </w:rPr>
        <w:t xml:space="preserve"> Bell, generální ředitel HSBC Bank </w:t>
      </w:r>
      <w:proofErr w:type="spellStart"/>
      <w:r w:rsidRPr="00590314">
        <w:rPr>
          <w:rFonts w:ascii="Arial" w:hAnsi="Arial" w:cs="Arial"/>
          <w:iCs/>
          <w:sz w:val="22"/>
          <w:lang w:eastAsia="el-GR"/>
        </w:rPr>
        <w:t>plc</w:t>
      </w:r>
      <w:proofErr w:type="spellEnd"/>
      <w:r w:rsidRPr="00590314">
        <w:rPr>
          <w:rFonts w:ascii="Arial" w:hAnsi="Arial" w:cs="Arial"/>
          <w:iCs/>
          <w:sz w:val="22"/>
          <w:lang w:eastAsia="el-GR"/>
        </w:rPr>
        <w:t xml:space="preserve"> a HSBC </w:t>
      </w:r>
      <w:proofErr w:type="spellStart"/>
      <w:r w:rsidRPr="00590314">
        <w:rPr>
          <w:rFonts w:ascii="Arial" w:hAnsi="Arial" w:cs="Arial"/>
          <w:iCs/>
          <w:sz w:val="22"/>
          <w:lang w:eastAsia="el-GR"/>
        </w:rPr>
        <w:t>Europe</w:t>
      </w:r>
      <w:proofErr w:type="spellEnd"/>
      <w:r w:rsidR="007E75E0">
        <w:rPr>
          <w:rFonts w:ascii="Arial" w:hAnsi="Arial" w:cs="Arial"/>
          <w:iCs/>
          <w:sz w:val="22"/>
          <w:lang w:eastAsia="el-GR"/>
        </w:rPr>
        <w:t>,</w:t>
      </w:r>
      <w:r>
        <w:rPr>
          <w:rFonts w:ascii="Arial" w:hAnsi="Arial" w:cs="Arial"/>
          <w:iCs/>
          <w:sz w:val="22"/>
          <w:lang w:eastAsia="el-GR"/>
        </w:rPr>
        <w:t xml:space="preserve"> k tomu dodává</w:t>
      </w:r>
      <w:r w:rsidRPr="00590314">
        <w:rPr>
          <w:rFonts w:ascii="Arial" w:hAnsi="Arial" w:cs="Arial"/>
          <w:iCs/>
          <w:sz w:val="22"/>
          <w:lang w:eastAsia="el-GR"/>
        </w:rPr>
        <w:t xml:space="preserve">: </w:t>
      </w:r>
      <w:r w:rsidRPr="00590314">
        <w:rPr>
          <w:rFonts w:ascii="Arial" w:hAnsi="Arial" w:cs="Arial"/>
          <w:i/>
          <w:sz w:val="22"/>
          <w:lang w:eastAsia="el-GR"/>
        </w:rPr>
        <w:t>„Snaha o větší udržitelnost je celosvětovým trendem. Trendem, v jehož čele stojí evropští investoři a emitenti, kteří nám ukazují, jak může taková změna vypadat. Přechod na globální ekonomiku s nulovou uhlíkovou stopou bude vyžadovat společné úsilí napříč celým světem, kde budou hrát klíčovou roli udržitelné finance. P</w:t>
      </w:r>
      <w:r>
        <w:rPr>
          <w:rFonts w:ascii="Arial" w:hAnsi="Arial" w:cs="Arial"/>
          <w:i/>
          <w:sz w:val="22"/>
          <w:lang w:eastAsia="el-GR"/>
        </w:rPr>
        <w:t xml:space="preserve">roto nepřestáváme podporovat </w:t>
      </w:r>
      <w:r w:rsidRPr="00590314">
        <w:rPr>
          <w:rFonts w:ascii="Arial" w:hAnsi="Arial" w:cs="Arial"/>
          <w:i/>
          <w:sz w:val="22"/>
          <w:lang w:eastAsia="el-GR"/>
        </w:rPr>
        <w:t>klient</w:t>
      </w:r>
      <w:r>
        <w:rPr>
          <w:rFonts w:ascii="Arial" w:hAnsi="Arial" w:cs="Arial"/>
          <w:i/>
          <w:sz w:val="22"/>
          <w:lang w:eastAsia="el-GR"/>
        </w:rPr>
        <w:t>y</w:t>
      </w:r>
      <w:r w:rsidRPr="00590314">
        <w:rPr>
          <w:rFonts w:ascii="Arial" w:hAnsi="Arial" w:cs="Arial"/>
          <w:i/>
          <w:sz w:val="22"/>
          <w:lang w:eastAsia="el-GR"/>
        </w:rPr>
        <w:t xml:space="preserve"> v jejich cestě za udržitelným růstem.“</w:t>
      </w:r>
    </w:p>
    <w:p w14:paraId="433AD555" w14:textId="3E00BAE7" w:rsidR="007223BD" w:rsidRPr="00515A39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515A39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515A39" w:rsidRDefault="007223BD" w:rsidP="007223BD">
      <w:pPr>
        <w:rPr>
          <w:rFonts w:ascii="Calibri" w:hAnsi="Calibri" w:cs="Calibri"/>
        </w:rPr>
      </w:pPr>
    </w:p>
    <w:p w14:paraId="60A63C7C" w14:textId="77777777" w:rsidR="007223BD" w:rsidRPr="00515A39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515A39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ab/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>Dominik Ježek</w:t>
      </w:r>
      <w:r w:rsidRPr="00515A3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  <w:hyperlink r:id="rId11" w:history="1">
        <w:r w:rsidR="004C5F66" w:rsidRPr="00515A3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4D317E6E" w14:textId="77777777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460F963D" w14:textId="4AE52FFE" w:rsidR="00590314" w:rsidRPr="00590314" w:rsidRDefault="00590314" w:rsidP="001D0B01">
      <w:pPr>
        <w:rPr>
          <w:rFonts w:ascii="Arial" w:eastAsia="SimSun" w:hAnsi="Arial" w:cs="Arial"/>
          <w:iCs/>
          <w:sz w:val="18"/>
          <w:szCs w:val="18"/>
        </w:rPr>
      </w:pPr>
      <w:r w:rsidRPr="00590314">
        <w:rPr>
          <w:rFonts w:ascii="Arial" w:eastAsia="SimSun" w:hAnsi="Arial" w:cs="Arial"/>
          <w:sz w:val="18"/>
          <w:szCs w:val="18"/>
        </w:rPr>
        <w:t xml:space="preserve">Celá zpráva </w:t>
      </w:r>
      <w:r w:rsidRPr="00590314">
        <w:rPr>
          <w:rFonts w:ascii="Arial" w:eastAsia="SimSun" w:hAnsi="Arial" w:cs="Arial"/>
          <w:iCs/>
          <w:sz w:val="18"/>
          <w:szCs w:val="18"/>
        </w:rPr>
        <w:t xml:space="preserve">HSBC </w:t>
      </w:r>
      <w:proofErr w:type="spellStart"/>
      <w:r w:rsidRPr="00590314">
        <w:rPr>
          <w:rFonts w:ascii="Arial" w:eastAsia="SimSun" w:hAnsi="Arial" w:cs="Arial"/>
          <w:iCs/>
          <w:sz w:val="18"/>
          <w:szCs w:val="18"/>
        </w:rPr>
        <w:t>Sustainable</w:t>
      </w:r>
      <w:proofErr w:type="spellEnd"/>
      <w:r w:rsidRPr="00590314">
        <w:rPr>
          <w:rFonts w:ascii="Arial" w:eastAsia="SimSun" w:hAnsi="Arial" w:cs="Arial"/>
          <w:iCs/>
          <w:sz w:val="18"/>
          <w:szCs w:val="18"/>
        </w:rPr>
        <w:t xml:space="preserve"> </w:t>
      </w:r>
      <w:proofErr w:type="spellStart"/>
      <w:r w:rsidRPr="00590314">
        <w:rPr>
          <w:rFonts w:ascii="Arial" w:eastAsia="SimSun" w:hAnsi="Arial" w:cs="Arial"/>
          <w:iCs/>
          <w:sz w:val="18"/>
          <w:szCs w:val="18"/>
        </w:rPr>
        <w:t>Financing</w:t>
      </w:r>
      <w:proofErr w:type="spellEnd"/>
      <w:r w:rsidRPr="00590314">
        <w:rPr>
          <w:rFonts w:ascii="Arial" w:eastAsia="SimSun" w:hAnsi="Arial" w:cs="Arial"/>
          <w:iCs/>
          <w:sz w:val="18"/>
          <w:szCs w:val="18"/>
        </w:rPr>
        <w:t xml:space="preserve"> and </w:t>
      </w:r>
      <w:proofErr w:type="spellStart"/>
      <w:r w:rsidRPr="00590314">
        <w:rPr>
          <w:rFonts w:ascii="Arial" w:eastAsia="SimSun" w:hAnsi="Arial" w:cs="Arial"/>
          <w:iCs/>
          <w:sz w:val="18"/>
          <w:szCs w:val="18"/>
        </w:rPr>
        <w:t>Investing</w:t>
      </w:r>
      <w:proofErr w:type="spellEnd"/>
      <w:r w:rsidRPr="00590314">
        <w:rPr>
          <w:rFonts w:ascii="Arial" w:eastAsia="SimSun" w:hAnsi="Arial" w:cs="Arial"/>
          <w:iCs/>
          <w:sz w:val="18"/>
          <w:szCs w:val="18"/>
        </w:rPr>
        <w:t xml:space="preserve"> </w:t>
      </w:r>
      <w:proofErr w:type="spellStart"/>
      <w:r w:rsidRPr="00590314">
        <w:rPr>
          <w:rFonts w:ascii="Arial" w:eastAsia="SimSun" w:hAnsi="Arial" w:cs="Arial"/>
          <w:iCs/>
          <w:sz w:val="18"/>
          <w:szCs w:val="18"/>
        </w:rPr>
        <w:t>Survey</w:t>
      </w:r>
      <w:proofErr w:type="spellEnd"/>
      <w:r w:rsidRPr="00590314">
        <w:rPr>
          <w:rFonts w:ascii="Arial" w:eastAsia="SimSun" w:hAnsi="Arial" w:cs="Arial"/>
          <w:iCs/>
          <w:sz w:val="18"/>
          <w:szCs w:val="18"/>
        </w:rPr>
        <w:t xml:space="preserve"> 2021 je k</w:t>
      </w:r>
      <w:r>
        <w:rPr>
          <w:rFonts w:ascii="Arial" w:eastAsia="SimSun" w:hAnsi="Arial" w:cs="Arial"/>
          <w:iCs/>
          <w:sz w:val="18"/>
          <w:szCs w:val="18"/>
        </w:rPr>
        <w:t>e stažení</w:t>
      </w:r>
      <w:r w:rsidRPr="00590314">
        <w:rPr>
          <w:rFonts w:ascii="Arial" w:eastAsia="SimSun" w:hAnsi="Arial" w:cs="Arial"/>
          <w:iCs/>
          <w:sz w:val="18"/>
          <w:szCs w:val="18"/>
        </w:rPr>
        <w:t xml:space="preserve"> na odkazu: </w:t>
      </w:r>
      <w:hyperlink r:id="rId12" w:history="1">
        <w:r w:rsidRPr="00590314">
          <w:rPr>
            <w:rStyle w:val="Hyperlink"/>
            <w:rFonts w:ascii="Arial" w:eastAsia="SimSun" w:hAnsi="Arial" w:cs="Arial"/>
            <w:iCs/>
            <w:sz w:val="18"/>
            <w:szCs w:val="18"/>
          </w:rPr>
          <w:t>https://www.gbm.hsbc.com/en-gb/campaigns/sfi-survey?form=MY01SV&amp;OCID=MY01SV</w:t>
        </w:r>
      </w:hyperlink>
    </w:p>
    <w:p w14:paraId="24FACF30" w14:textId="77777777" w:rsidR="00590314" w:rsidRDefault="00590314" w:rsidP="001D0B01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1D001F25" w14:textId="5F038464" w:rsidR="001D0B01" w:rsidRPr="00515A39" w:rsidRDefault="001D0B01" w:rsidP="001D0B01">
      <w:pPr>
        <w:rPr>
          <w:rFonts w:ascii="Arial" w:eastAsia="SimSun" w:hAnsi="Arial" w:cs="Arial"/>
          <w:b/>
          <w:bCs/>
          <w:sz w:val="18"/>
          <w:szCs w:val="18"/>
        </w:rPr>
      </w:pPr>
      <w:r w:rsidRPr="00515A39">
        <w:rPr>
          <w:rFonts w:ascii="Arial" w:eastAsia="SimSun" w:hAnsi="Arial" w:cs="Arial"/>
          <w:b/>
          <w:bCs/>
          <w:sz w:val="18"/>
          <w:szCs w:val="18"/>
        </w:rPr>
        <w:lastRenderedPageBreak/>
        <w:t xml:space="preserve">HSBC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Holdings</w:t>
      </w:r>
      <w:proofErr w:type="spellEnd"/>
      <w:r w:rsidRPr="00515A39">
        <w:rPr>
          <w:rFonts w:ascii="Arial" w:eastAsia="SimSun" w:hAnsi="Arial" w:cs="Arial"/>
          <w:b/>
          <w:bCs/>
          <w:sz w:val="18"/>
          <w:szCs w:val="18"/>
        </w:rPr>
        <w:t xml:space="preserve">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plc</w:t>
      </w:r>
      <w:proofErr w:type="spellEnd"/>
    </w:p>
    <w:p w14:paraId="28B78823" w14:textId="77777777" w:rsidR="001D0B01" w:rsidRPr="00515A39" w:rsidRDefault="001D0B01" w:rsidP="001D0B01">
      <w:pPr>
        <w:pStyle w:val="BodyText1"/>
        <w:rPr>
          <w:rFonts w:cs="Arial"/>
          <w:b/>
          <w:lang w:val="cs-CZ"/>
        </w:rPr>
      </w:pPr>
      <w:r w:rsidRPr="00515A39">
        <w:rPr>
          <w:rFonts w:eastAsia="SimSun" w:cs="Arial"/>
          <w:sz w:val="18"/>
          <w:szCs w:val="18"/>
          <w:lang w:val="cs-CZ" w:eastAsia="zh-CN"/>
        </w:rPr>
        <w:t xml:space="preserve">HSBC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Holdings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 xml:space="preserve">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plc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>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</w:t>
      </w:r>
      <w:r>
        <w:rPr>
          <w:rFonts w:eastAsia="SimSun" w:cs="Arial"/>
          <w:sz w:val="18"/>
          <w:szCs w:val="18"/>
          <w:lang w:val="cs-CZ" w:eastAsia="zh-CN"/>
        </w:rPr>
        <w:t>59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miliardy USD k 3</w:t>
      </w:r>
      <w:r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>.</w:t>
      </w:r>
      <w:r>
        <w:rPr>
          <w:rFonts w:eastAsia="SimSun" w:cs="Arial"/>
          <w:sz w:val="18"/>
          <w:szCs w:val="18"/>
          <w:lang w:val="cs-CZ" w:eastAsia="zh-CN"/>
        </w:rPr>
        <w:t> březnu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202</w:t>
      </w:r>
      <w:r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je HSBC jednou z největších světových organizací poskytujících bankovní a finanční služby.</w:t>
      </w:r>
    </w:p>
    <w:p w14:paraId="23EE7B50" w14:textId="77777777" w:rsidR="001D0B01" w:rsidRPr="00E720E9" w:rsidRDefault="001D0B01" w:rsidP="001D0B01">
      <w:pPr>
        <w:pStyle w:val="BodyText1"/>
        <w:rPr>
          <w:rFonts w:cs="Arial"/>
          <w:sz w:val="18"/>
          <w:lang w:val="cs-CZ"/>
        </w:rPr>
      </w:pPr>
    </w:p>
    <w:p w14:paraId="0EFD6250" w14:textId="77777777" w:rsidR="001D0B01" w:rsidRPr="00C87EC2" w:rsidRDefault="001D0B01" w:rsidP="001D0B01">
      <w:pPr>
        <w:pStyle w:val="Default"/>
        <w:rPr>
          <w:b/>
          <w:bCs/>
          <w:color w:val="auto"/>
          <w:sz w:val="18"/>
          <w:szCs w:val="18"/>
          <w:lang w:val="cs-CZ"/>
        </w:rPr>
      </w:pPr>
      <w:proofErr w:type="spellStart"/>
      <w:r w:rsidRPr="00C87EC2">
        <w:rPr>
          <w:b/>
          <w:bCs/>
          <w:color w:val="auto"/>
          <w:sz w:val="18"/>
          <w:szCs w:val="18"/>
          <w:lang w:val="cs-CZ"/>
        </w:rPr>
        <w:t>Disclaimer</w:t>
      </w:r>
      <w:proofErr w:type="spellEnd"/>
      <w:r w:rsidRPr="00C87EC2">
        <w:rPr>
          <w:b/>
          <w:bCs/>
          <w:color w:val="auto"/>
          <w:sz w:val="18"/>
          <w:szCs w:val="18"/>
          <w:lang w:val="cs-CZ"/>
        </w:rPr>
        <w:t>:</w:t>
      </w:r>
    </w:p>
    <w:p w14:paraId="29B15E05" w14:textId="77777777" w:rsidR="001D0B01" w:rsidRDefault="001D0B01" w:rsidP="001D0B01">
      <w:pPr>
        <w:pStyle w:val="Default"/>
        <w:rPr>
          <w:color w:val="auto"/>
          <w:sz w:val="18"/>
          <w:szCs w:val="18"/>
          <w:lang w:val="cs-CZ"/>
        </w:rPr>
      </w:pPr>
      <w:r>
        <w:rPr>
          <w:color w:val="auto"/>
          <w:sz w:val="18"/>
          <w:szCs w:val="18"/>
          <w:lang w:val="cs-CZ"/>
        </w:rPr>
        <w:t xml:space="preserve">Publikace tohoto dokumentu a detaily v něm obsažené </w:t>
      </w:r>
      <w:r w:rsidRPr="00C87EC2">
        <w:rPr>
          <w:color w:val="auto"/>
          <w:sz w:val="18"/>
          <w:szCs w:val="18"/>
          <w:lang w:val="cs-CZ"/>
        </w:rPr>
        <w:t>nepředstavuj</w:t>
      </w:r>
      <w:r>
        <w:rPr>
          <w:color w:val="auto"/>
          <w:sz w:val="18"/>
          <w:szCs w:val="18"/>
          <w:lang w:val="cs-CZ"/>
        </w:rPr>
        <w:t>í</w:t>
      </w:r>
      <w:r w:rsidRPr="00C87EC2">
        <w:rPr>
          <w:color w:val="auto"/>
          <w:sz w:val="18"/>
          <w:szCs w:val="18"/>
          <w:lang w:val="cs-CZ"/>
        </w:rPr>
        <w:t xml:space="preserve"> nabídku</w:t>
      </w:r>
      <w:r>
        <w:rPr>
          <w:color w:val="auto"/>
          <w:sz w:val="18"/>
          <w:szCs w:val="18"/>
          <w:lang w:val="cs-CZ"/>
        </w:rPr>
        <w:t>, radu ani</w:t>
      </w:r>
      <w:r w:rsidRPr="00C87EC2">
        <w:rPr>
          <w:color w:val="auto"/>
          <w:sz w:val="18"/>
          <w:szCs w:val="18"/>
          <w:lang w:val="cs-CZ"/>
        </w:rPr>
        <w:t xml:space="preserve"> výzvu k nákupu nebo prodeji jakéhokoli vkladu, cenného papíru, komodity nebo jiného investičního produktu nebo investiční smlouvy</w:t>
      </w:r>
      <w:r>
        <w:rPr>
          <w:color w:val="auto"/>
          <w:sz w:val="18"/>
          <w:szCs w:val="18"/>
          <w:lang w:val="cs-CZ"/>
        </w:rPr>
        <w:t xml:space="preserve">. </w:t>
      </w:r>
      <w:r w:rsidRPr="00C87EC2">
        <w:rPr>
          <w:color w:val="auto"/>
          <w:sz w:val="18"/>
          <w:szCs w:val="18"/>
          <w:lang w:val="cs-CZ"/>
        </w:rPr>
        <w:t xml:space="preserve">HSBC Continental </w:t>
      </w:r>
      <w:proofErr w:type="spellStart"/>
      <w:r w:rsidRPr="00C87EC2">
        <w:rPr>
          <w:color w:val="auto"/>
          <w:sz w:val="18"/>
          <w:szCs w:val="18"/>
          <w:lang w:val="cs-CZ"/>
        </w:rPr>
        <w:t>Europe</w:t>
      </w:r>
      <w:proofErr w:type="spellEnd"/>
      <w:r w:rsidRPr="00C87EC2">
        <w:rPr>
          <w:color w:val="auto"/>
          <w:sz w:val="18"/>
          <w:szCs w:val="18"/>
          <w:lang w:val="cs-CZ"/>
        </w:rPr>
        <w:t xml:space="preserve">, </w:t>
      </w:r>
      <w:r>
        <w:rPr>
          <w:color w:val="auto"/>
          <w:sz w:val="18"/>
          <w:szCs w:val="18"/>
          <w:lang w:val="cs-CZ"/>
        </w:rPr>
        <w:t>Czech Republic</w:t>
      </w:r>
      <w:r w:rsidRPr="00C87EC2">
        <w:rPr>
          <w:color w:val="auto"/>
          <w:sz w:val="18"/>
          <w:szCs w:val="18"/>
          <w:lang w:val="cs-CZ"/>
        </w:rPr>
        <w:t xml:space="preserve"> vám v této souvislosti neposkytuje žádné poradenství; nepřebírá žádné závazky ani odpovědnost vůči příjemci, jehož rozhodnutí bylo založeno na tomto dokumentu.</w:t>
      </w:r>
    </w:p>
    <w:p w14:paraId="54E30536" w14:textId="77777777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64378154" w14:textId="39A70D73" w:rsidR="00590314" w:rsidRPr="00DC62FB" w:rsidRDefault="00DC62FB" w:rsidP="00590314">
      <w:pPr>
        <w:pStyle w:val="Default"/>
        <w:rPr>
          <w:b/>
          <w:bCs/>
          <w:color w:val="auto"/>
          <w:sz w:val="18"/>
          <w:szCs w:val="18"/>
          <w:lang w:val="cs-CZ"/>
        </w:rPr>
      </w:pPr>
      <w:r w:rsidRPr="00DC62FB">
        <w:rPr>
          <w:b/>
          <w:bCs/>
          <w:color w:val="auto"/>
          <w:sz w:val="18"/>
          <w:szCs w:val="18"/>
          <w:lang w:val="cs-CZ"/>
        </w:rPr>
        <w:t xml:space="preserve">Průzkum HSBC </w:t>
      </w:r>
      <w:proofErr w:type="spellStart"/>
      <w:r w:rsidRPr="00DC62FB">
        <w:rPr>
          <w:b/>
          <w:bCs/>
          <w:color w:val="auto"/>
          <w:sz w:val="18"/>
          <w:szCs w:val="18"/>
          <w:lang w:val="cs-CZ"/>
        </w:rPr>
        <w:t>Sustainable</w:t>
      </w:r>
      <w:proofErr w:type="spellEnd"/>
      <w:r w:rsidRPr="00DC62FB">
        <w:rPr>
          <w:b/>
          <w:bCs/>
          <w:color w:val="auto"/>
          <w:sz w:val="18"/>
          <w:szCs w:val="18"/>
          <w:lang w:val="cs-CZ"/>
        </w:rPr>
        <w:t xml:space="preserve"> </w:t>
      </w:r>
      <w:proofErr w:type="spellStart"/>
      <w:r w:rsidRPr="00DC62FB">
        <w:rPr>
          <w:b/>
          <w:bCs/>
          <w:color w:val="auto"/>
          <w:sz w:val="18"/>
          <w:szCs w:val="18"/>
          <w:lang w:val="cs-CZ"/>
        </w:rPr>
        <w:t>Financing</w:t>
      </w:r>
      <w:proofErr w:type="spellEnd"/>
      <w:r w:rsidRPr="00DC62FB">
        <w:rPr>
          <w:b/>
          <w:bCs/>
          <w:color w:val="auto"/>
          <w:sz w:val="18"/>
          <w:szCs w:val="18"/>
          <w:lang w:val="cs-CZ"/>
        </w:rPr>
        <w:t xml:space="preserve"> and </w:t>
      </w:r>
      <w:proofErr w:type="spellStart"/>
      <w:r w:rsidRPr="00DC62FB">
        <w:rPr>
          <w:b/>
          <w:bCs/>
          <w:color w:val="auto"/>
          <w:sz w:val="18"/>
          <w:szCs w:val="18"/>
          <w:lang w:val="cs-CZ"/>
        </w:rPr>
        <w:t>Investing</w:t>
      </w:r>
      <w:proofErr w:type="spellEnd"/>
      <w:r w:rsidRPr="00DC62FB">
        <w:rPr>
          <w:b/>
          <w:bCs/>
          <w:color w:val="auto"/>
          <w:sz w:val="18"/>
          <w:szCs w:val="18"/>
          <w:lang w:val="cs-CZ"/>
        </w:rPr>
        <w:t xml:space="preserve"> </w:t>
      </w:r>
      <w:proofErr w:type="spellStart"/>
      <w:r w:rsidRPr="00DC62FB">
        <w:rPr>
          <w:b/>
          <w:bCs/>
          <w:color w:val="auto"/>
          <w:sz w:val="18"/>
          <w:szCs w:val="18"/>
          <w:lang w:val="cs-CZ"/>
        </w:rPr>
        <w:t>Survey</w:t>
      </w:r>
      <w:proofErr w:type="spellEnd"/>
      <w:r w:rsidRPr="00DC62FB">
        <w:rPr>
          <w:b/>
          <w:bCs/>
          <w:color w:val="auto"/>
          <w:sz w:val="18"/>
          <w:szCs w:val="18"/>
          <w:lang w:val="cs-CZ"/>
        </w:rPr>
        <w:t xml:space="preserve"> 2021</w:t>
      </w:r>
    </w:p>
    <w:p w14:paraId="406952D3" w14:textId="2449421A" w:rsidR="00590314" w:rsidRPr="00590314" w:rsidRDefault="00590314" w:rsidP="00590314">
      <w:pPr>
        <w:pStyle w:val="Default"/>
        <w:rPr>
          <w:color w:val="auto"/>
          <w:sz w:val="18"/>
          <w:szCs w:val="18"/>
          <w:lang w:val="cs-CZ"/>
        </w:rPr>
      </w:pPr>
      <w:r w:rsidRPr="00590314">
        <w:rPr>
          <w:color w:val="auto"/>
          <w:sz w:val="18"/>
          <w:szCs w:val="18"/>
          <w:lang w:val="cs-CZ"/>
        </w:rPr>
        <w:t xml:space="preserve">Průzkum HSBC </w:t>
      </w:r>
      <w:proofErr w:type="spellStart"/>
      <w:r w:rsidRPr="00590314">
        <w:rPr>
          <w:color w:val="auto"/>
          <w:sz w:val="18"/>
          <w:szCs w:val="18"/>
          <w:lang w:val="cs-CZ"/>
        </w:rPr>
        <w:t>Sustainable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</w:t>
      </w:r>
      <w:proofErr w:type="spellStart"/>
      <w:r w:rsidRPr="00590314">
        <w:rPr>
          <w:color w:val="auto"/>
          <w:sz w:val="18"/>
          <w:szCs w:val="18"/>
          <w:lang w:val="cs-CZ"/>
        </w:rPr>
        <w:t>Financing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and </w:t>
      </w:r>
      <w:proofErr w:type="spellStart"/>
      <w:r w:rsidRPr="00590314">
        <w:rPr>
          <w:color w:val="auto"/>
          <w:sz w:val="18"/>
          <w:szCs w:val="18"/>
          <w:lang w:val="cs-CZ"/>
        </w:rPr>
        <w:t>Investing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</w:t>
      </w:r>
      <w:proofErr w:type="spellStart"/>
      <w:r w:rsidRPr="00590314">
        <w:rPr>
          <w:color w:val="auto"/>
          <w:sz w:val="18"/>
          <w:szCs w:val="18"/>
          <w:lang w:val="cs-CZ"/>
        </w:rPr>
        <w:t>Survey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2021 je každoroční </w:t>
      </w:r>
      <w:r w:rsidR="00DC62FB">
        <w:rPr>
          <w:color w:val="auto"/>
          <w:sz w:val="18"/>
          <w:szCs w:val="18"/>
          <w:lang w:val="cs-CZ"/>
        </w:rPr>
        <w:t xml:space="preserve">celosvětový </w:t>
      </w:r>
      <w:r w:rsidRPr="00590314">
        <w:rPr>
          <w:color w:val="auto"/>
          <w:sz w:val="18"/>
          <w:szCs w:val="18"/>
          <w:lang w:val="cs-CZ"/>
        </w:rPr>
        <w:t>průzkum mezi 2</w:t>
      </w:r>
      <w:r w:rsidR="00253EB6">
        <w:rPr>
          <w:color w:val="auto"/>
          <w:sz w:val="18"/>
          <w:szCs w:val="18"/>
          <w:lang w:val="cs-CZ"/>
        </w:rPr>
        <w:t> </w:t>
      </w:r>
      <w:r w:rsidRPr="00590314">
        <w:rPr>
          <w:color w:val="auto"/>
          <w:sz w:val="18"/>
          <w:szCs w:val="18"/>
          <w:lang w:val="cs-CZ"/>
        </w:rPr>
        <w:t xml:space="preserve">000 emitenty na kapitálovém trhu a institucionálními investory. Průzkum </w:t>
      </w:r>
      <w:r w:rsidR="00253EB6">
        <w:rPr>
          <w:color w:val="auto"/>
          <w:sz w:val="18"/>
          <w:szCs w:val="18"/>
          <w:lang w:val="cs-CZ"/>
        </w:rPr>
        <w:t>se konal</w:t>
      </w:r>
      <w:r w:rsidR="00253EB6" w:rsidRPr="00590314">
        <w:rPr>
          <w:color w:val="auto"/>
          <w:sz w:val="18"/>
          <w:szCs w:val="18"/>
          <w:lang w:val="cs-CZ"/>
        </w:rPr>
        <w:t xml:space="preserve"> </w:t>
      </w:r>
      <w:r w:rsidRPr="00590314">
        <w:rPr>
          <w:color w:val="auto"/>
          <w:sz w:val="18"/>
          <w:szCs w:val="18"/>
          <w:lang w:val="cs-CZ"/>
        </w:rPr>
        <w:t xml:space="preserve">v průběhu května a června a byl navržen a realizován společností </w:t>
      </w:r>
      <w:proofErr w:type="spellStart"/>
      <w:r w:rsidRPr="00590314">
        <w:rPr>
          <w:color w:val="auto"/>
          <w:sz w:val="18"/>
          <w:szCs w:val="18"/>
          <w:lang w:val="cs-CZ"/>
        </w:rPr>
        <w:t>Euromoney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</w:t>
      </w:r>
      <w:proofErr w:type="spellStart"/>
      <w:r w:rsidRPr="00590314">
        <w:rPr>
          <w:color w:val="auto"/>
          <w:sz w:val="18"/>
          <w:szCs w:val="18"/>
          <w:lang w:val="cs-CZ"/>
        </w:rPr>
        <w:t>Institutional</w:t>
      </w:r>
      <w:proofErr w:type="spellEnd"/>
      <w:r w:rsidRPr="00590314">
        <w:rPr>
          <w:color w:val="auto"/>
          <w:sz w:val="18"/>
          <w:szCs w:val="18"/>
          <w:lang w:val="cs-CZ"/>
        </w:rPr>
        <w:t xml:space="preserve"> Investor PLC. Respondenti byli rovnoměrně rozděleni mezi emitenty z</w:t>
      </w:r>
      <w:r w:rsidR="003C679A">
        <w:rPr>
          <w:color w:val="auto"/>
          <w:sz w:val="18"/>
          <w:szCs w:val="18"/>
          <w:lang w:val="cs-CZ"/>
        </w:rPr>
        <w:t> </w:t>
      </w:r>
      <w:r w:rsidRPr="00590314">
        <w:rPr>
          <w:color w:val="auto"/>
          <w:sz w:val="18"/>
          <w:szCs w:val="18"/>
          <w:lang w:val="cs-CZ"/>
        </w:rPr>
        <w:t>19</w:t>
      </w:r>
      <w:r w:rsidR="003C679A">
        <w:rPr>
          <w:color w:val="auto"/>
          <w:sz w:val="18"/>
          <w:szCs w:val="18"/>
          <w:lang w:val="cs-CZ"/>
        </w:rPr>
        <w:t> </w:t>
      </w:r>
      <w:r w:rsidRPr="00590314">
        <w:rPr>
          <w:color w:val="auto"/>
          <w:sz w:val="18"/>
          <w:szCs w:val="18"/>
          <w:lang w:val="cs-CZ"/>
        </w:rPr>
        <w:t>průmyslových odvětví a institucionální investory, včetně alokací aktiv a vlastníků aktiv. Celkem respondenti sídlili ve 34</w:t>
      </w:r>
      <w:r w:rsidR="003C679A">
        <w:rPr>
          <w:color w:val="auto"/>
          <w:sz w:val="18"/>
          <w:szCs w:val="18"/>
          <w:lang w:val="cs-CZ"/>
        </w:rPr>
        <w:t> </w:t>
      </w:r>
      <w:r w:rsidRPr="00590314">
        <w:rPr>
          <w:color w:val="auto"/>
          <w:sz w:val="18"/>
          <w:szCs w:val="18"/>
          <w:lang w:val="cs-CZ"/>
        </w:rPr>
        <w:t xml:space="preserve">teritoriích napříč regiony Severní a Jižní Ameriky, Evropy, Středního východu, Asie a Tichomoří.    </w:t>
      </w:r>
    </w:p>
    <w:p w14:paraId="239B444B" w14:textId="77777777" w:rsidR="00590314" w:rsidRPr="00590314" w:rsidRDefault="00590314" w:rsidP="00590314">
      <w:pPr>
        <w:pStyle w:val="Default"/>
        <w:rPr>
          <w:color w:val="auto"/>
          <w:sz w:val="18"/>
          <w:szCs w:val="18"/>
          <w:lang w:val="cs-CZ"/>
        </w:rPr>
      </w:pPr>
    </w:p>
    <w:p w14:paraId="5C26E3CB" w14:textId="5CCCF644" w:rsidR="00AB4FE4" w:rsidRDefault="00590314" w:rsidP="00590314">
      <w:pPr>
        <w:pStyle w:val="Default"/>
        <w:rPr>
          <w:color w:val="auto"/>
          <w:sz w:val="18"/>
          <w:szCs w:val="18"/>
          <w:lang w:val="cs-CZ"/>
        </w:rPr>
      </w:pPr>
      <w:r w:rsidRPr="00590314">
        <w:rPr>
          <w:color w:val="auto"/>
          <w:sz w:val="18"/>
          <w:szCs w:val="18"/>
          <w:lang w:val="cs-CZ"/>
        </w:rPr>
        <w:t xml:space="preserve">Globální zpráva a regionální zprávy pro Asii a Tichomoří, Ameriku a Blízký východ jsou k dispozici zde: </w:t>
      </w:r>
      <w:hyperlink r:id="rId13" w:history="1">
        <w:r w:rsidR="009E3662" w:rsidRPr="00E875E2">
          <w:rPr>
            <w:rStyle w:val="Hyperlink"/>
            <w:sz w:val="18"/>
            <w:szCs w:val="18"/>
            <w:lang w:val="cs-CZ"/>
          </w:rPr>
          <w:t>https://www.gbm.hsbc.com/en-gb/campaigns/sfi-survey</w:t>
        </w:r>
      </w:hyperlink>
      <w:r w:rsidR="009E3662">
        <w:rPr>
          <w:color w:val="auto"/>
          <w:sz w:val="18"/>
          <w:szCs w:val="18"/>
          <w:lang w:val="cs-CZ"/>
        </w:rPr>
        <w:t>.</w:t>
      </w:r>
    </w:p>
    <w:p w14:paraId="0E5F1B68" w14:textId="77777777" w:rsidR="009E3662" w:rsidRPr="00515A39" w:rsidRDefault="009E3662" w:rsidP="00590314">
      <w:pPr>
        <w:pStyle w:val="Default"/>
        <w:rPr>
          <w:color w:val="auto"/>
          <w:sz w:val="18"/>
          <w:szCs w:val="18"/>
          <w:lang w:val="cs-CZ"/>
        </w:rPr>
      </w:pPr>
    </w:p>
    <w:sectPr w:rsidR="009E3662" w:rsidRPr="00515A39" w:rsidSect="00466421">
      <w:head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9E38" w14:textId="77777777" w:rsidR="00362B13" w:rsidRDefault="00362B13">
      <w:r>
        <w:separator/>
      </w:r>
    </w:p>
  </w:endnote>
  <w:endnote w:type="continuationSeparator" w:id="0">
    <w:p w14:paraId="3A935496" w14:textId="77777777" w:rsidR="00362B13" w:rsidRDefault="003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Next for HSBC Light">
    <w:altName w:val="Calibri"/>
    <w:panose1 w:val="020B0604020202020204"/>
    <w:charset w:val="EE"/>
    <w:family w:val="roman"/>
    <w:pitch w:val="variable"/>
  </w:font>
  <w:font w:name="Univers Next for HSBC Regular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6DBE" w14:textId="21E1F271" w:rsidR="00417C88" w:rsidRDefault="00417C88" w:rsidP="00417C88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88D8E9" wp14:editId="4AEF4BF5">
              <wp:simplePos x="0" y="0"/>
              <wp:positionH relativeFrom="column">
                <wp:posOffset>2737485</wp:posOffset>
              </wp:positionH>
              <wp:positionV relativeFrom="paragraph">
                <wp:posOffset>41519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B0A63" w14:textId="77777777" w:rsidR="00417C88" w:rsidRPr="00DE3B0C" w:rsidRDefault="00417C88" w:rsidP="00417C88">
                          <w:pPr>
                            <w:jc w:val="both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HSBC Continental </w:t>
                          </w:r>
                          <w:proofErr w:type="spellStart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Europe</w:t>
                          </w:r>
                          <w:proofErr w:type="spellEnd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, společnost zřízená podle francouzského práva jako </w:t>
                          </w:r>
                          <w:proofErr w:type="spellStart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>societe</w:t>
                          </w:r>
                          <w:proofErr w:type="spellEnd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anonyme (registrovaná pod č. 775 670 284 RCS Paris), se sídlem </w:t>
                          </w:r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 xml:space="preserve">38, avenue </w:t>
                          </w:r>
                          <w:proofErr w:type="spellStart"/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>Kléber</w:t>
                          </w:r>
                          <w:proofErr w:type="spellEnd"/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>, 75116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Paříž, Francie, jednající prostřednictvím své pobočky </w:t>
                          </w:r>
                        </w:p>
                        <w:p w14:paraId="091A5D59" w14:textId="77777777" w:rsidR="00417C88" w:rsidRPr="00DE3B0C" w:rsidRDefault="00417C88" w:rsidP="00417C88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  <w:sz w:val="14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 xml:space="preserve">HSBC Continental </w:t>
                          </w:r>
                          <w:proofErr w:type="spellStart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>Europe</w:t>
                          </w:r>
                          <w:proofErr w:type="spellEnd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>, Czech Republic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>, se sídlem Na Florenci 2116/15, Nové Město, 110 00 Praha 1, Česká republika, IČO: 07482728, registrována v obchodním rejstříku Městského soudu v Praze, oddíl A, vložka 78901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C588719">
            <v:shapetype id="_x0000_t202" coordsize="21600,21600" o:spt="202" path="m,l,21600r21600,l21600,xe" w14:anchorId="1688D8E9">
              <v:stroke joinstyle="miter"/>
              <v:path gradientshapeok="t" o:connecttype="rect"/>
            </v:shapetype>
            <v:shape id="Text Box 2" style="position:absolute;margin-left:215.55pt;margin-top:3.25pt;width:234.35pt;height:9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">
              <v:path arrowok="t"/>
              <v:textbox>
                <w:txbxContent>
                  <w:p w:rsidRPr="00DE3B0C" w:rsidR="00417C88" w:rsidP="00417C88" w:rsidRDefault="00417C88" w14:paraId="42917356" w14:textId="77777777">
                    <w:pPr>
                      <w:jc w:val="both"/>
                      <w:rPr>
                        <w:rFonts w:cstheme="minorHAnsi"/>
                        <w:sz w:val="15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HSBC Continental </w:t>
                    </w:r>
                    <w:proofErr w:type="spellStart"/>
                    <w:r w:rsidRPr="00DE3B0C">
                      <w:rPr>
                        <w:rFonts w:cs="Arial"/>
                        <w:b/>
                        <w:sz w:val="15"/>
                        <w:szCs w:val="15"/>
                      </w:rPr>
                      <w:t>Europe</w:t>
                    </w:r>
                    <w:proofErr w:type="spellEnd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, společnost zřízená podle francouzského práva jako </w:t>
                    </w:r>
                    <w:proofErr w:type="spellStart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>societe</w:t>
                    </w:r>
                    <w:proofErr w:type="spellEnd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 anonyme (registrovaná pod č. 775 670 284 RCS Paris), se sídlem </w:t>
                    </w:r>
                    <w:r w:rsidRPr="00DE3B0C">
                      <w:rPr>
                        <w:rFonts w:cs="Arial"/>
                        <w:snapToGrid w:val="0"/>
                        <w:sz w:val="15"/>
                        <w:szCs w:val="15"/>
                      </w:rPr>
                      <w:t>38, avenue Kléber, 75116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 Paříž, Francie, jednající prostřednictvím své pobočky </w:t>
                    </w:r>
                  </w:p>
                  <w:p w:rsidRPr="00DE3B0C" w:rsidR="00417C88" w:rsidP="00417C88" w:rsidRDefault="00417C88" w14:paraId="45518238" w14:textId="77777777">
                    <w:pPr>
                      <w:pStyle w:val="Footer"/>
                      <w:rPr>
                        <w:rFonts w:ascii="Univers Next for HSBC Regular" w:hAnsi="Univers Next for HSBC Regular" w:cs="Arial"/>
                        <w:sz w:val="14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 xml:space="preserve">HSBC Continental </w:t>
                    </w:r>
                    <w:proofErr w:type="spellStart"/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>Europe</w:t>
                    </w:r>
                    <w:proofErr w:type="spellEnd"/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>, Czech Republic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>, se sídlem Na Florenci 2116/15, Nové Město, 110 00 Praha 1, Česká republika, IČO: 07482728, registrována v obchodním rejstříku Městského soudu v Praze, oddíl A, vložka 78901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2848" behindDoc="1" locked="0" layoutInCell="1" allowOverlap="1" wp14:anchorId="6CC4400E" wp14:editId="602588B5">
              <wp:simplePos x="0" y="0"/>
              <wp:positionH relativeFrom="column">
                <wp:posOffset>-26670</wp:posOffset>
              </wp:positionH>
              <wp:positionV relativeFrom="paragraph">
                <wp:posOffset>30480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C9AA" w14:textId="77777777" w:rsidR="00417C88" w:rsidRDefault="00417C88" w:rsidP="00417C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4EF470A6" w14:textId="77777777" w:rsidR="00417C88" w:rsidRDefault="00417C88" w:rsidP="00417C88">
                          <w:pPr>
                            <w:rPr>
                              <w:b/>
                              <w:sz w:val="24"/>
                            </w:rPr>
                          </w:pPr>
                          <w:r w:rsidRPr="00DE3B0C">
                            <w:rPr>
                              <w:b/>
                              <w:sz w:val="24"/>
                              <w:lang w:val="en-GB"/>
                            </w:rPr>
                            <w:t>HSBC Continental Europe, Czech Republic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F0C782C">
            <v:shape id="Text Box 1" style="position:absolute;margin-left:-2.1pt;margin-top:2.4pt;width:128.05pt;height:38.4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" w14:anchorId="6CC4400E">
              <v:fill opacity="0"/>
              <v:path arrowok="t"/>
              <v:textbox inset="0,0,0,0">
                <w:txbxContent>
                  <w:p w:rsidR="00417C88" w:rsidP="00417C88" w:rsidRDefault="00417C88" w14:paraId="571E55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:rsidR="00417C88" w:rsidP="00417C88" w:rsidRDefault="00417C88" w14:paraId="772BE921" w14:textId="77777777">
                    <w:pPr>
                      <w:rPr>
                        <w:b/>
                        <w:sz w:val="24"/>
                      </w:rPr>
                    </w:pPr>
                    <w:r w:rsidRPr="00DE3B0C">
                      <w:rPr>
                        <w:b/>
                        <w:sz w:val="24"/>
                        <w:lang w:val="en-GB"/>
                      </w:rPr>
                      <w:t>HSBC Continental Europe, Czech Republic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81E3365" w14:textId="65CF08F4" w:rsidR="00045A78" w:rsidRPr="00417C88" w:rsidRDefault="00045A78" w:rsidP="0041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FFE0" w14:textId="77777777" w:rsidR="00362B13" w:rsidRDefault="00362B13">
      <w:r>
        <w:separator/>
      </w:r>
    </w:p>
  </w:footnote>
  <w:footnote w:type="continuationSeparator" w:id="0">
    <w:p w14:paraId="075E60A1" w14:textId="77777777" w:rsidR="00362B13" w:rsidRDefault="0036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&#13;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2485824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50.15pt,58.15pt" to="450.15pt,792.55pt" w14:anchorId="625AA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02696"/>
    <w:multiLevelType w:val="hybridMultilevel"/>
    <w:tmpl w:val="FCB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16402"/>
    <w:multiLevelType w:val="multilevel"/>
    <w:tmpl w:val="F2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6535386"/>
    <w:multiLevelType w:val="multilevel"/>
    <w:tmpl w:val="28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4EA85023"/>
    <w:multiLevelType w:val="hybridMultilevel"/>
    <w:tmpl w:val="110E95B4"/>
    <w:lvl w:ilvl="0" w:tplc="BDD65F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869DF"/>
    <w:multiLevelType w:val="hybridMultilevel"/>
    <w:tmpl w:val="A500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6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9901F8"/>
    <w:multiLevelType w:val="hybridMultilevel"/>
    <w:tmpl w:val="C2A0E5D6"/>
    <w:lvl w:ilvl="0" w:tplc="8A126D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A69CE"/>
    <w:multiLevelType w:val="hybridMultilevel"/>
    <w:tmpl w:val="C7B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2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9"/>
  </w:num>
  <w:num w:numId="17">
    <w:abstractNumId w:val="25"/>
  </w:num>
  <w:num w:numId="18">
    <w:abstractNumId w:val="36"/>
  </w:num>
  <w:num w:numId="19">
    <w:abstractNumId w:val="37"/>
  </w:num>
  <w:num w:numId="20">
    <w:abstractNumId w:val="21"/>
  </w:num>
  <w:num w:numId="21">
    <w:abstractNumId w:val="45"/>
  </w:num>
  <w:num w:numId="22">
    <w:abstractNumId w:val="44"/>
  </w:num>
  <w:num w:numId="23">
    <w:abstractNumId w:val="15"/>
  </w:num>
  <w:num w:numId="24">
    <w:abstractNumId w:val="43"/>
  </w:num>
  <w:num w:numId="25">
    <w:abstractNumId w:val="31"/>
  </w:num>
  <w:num w:numId="26">
    <w:abstractNumId w:val="22"/>
  </w:num>
  <w:num w:numId="27">
    <w:abstractNumId w:val="17"/>
  </w:num>
  <w:num w:numId="28">
    <w:abstractNumId w:val="40"/>
  </w:num>
  <w:num w:numId="29">
    <w:abstractNumId w:val="23"/>
  </w:num>
  <w:num w:numId="30">
    <w:abstractNumId w:val="46"/>
  </w:num>
  <w:num w:numId="31">
    <w:abstractNumId w:val="0"/>
  </w:num>
  <w:num w:numId="32">
    <w:abstractNumId w:val="11"/>
  </w:num>
  <w:num w:numId="33">
    <w:abstractNumId w:val="12"/>
  </w:num>
  <w:num w:numId="34">
    <w:abstractNumId w:val="41"/>
  </w:num>
  <w:num w:numId="35">
    <w:abstractNumId w:val="24"/>
  </w:num>
  <w:num w:numId="36">
    <w:abstractNumId w:val="35"/>
  </w:num>
  <w:num w:numId="37">
    <w:abstractNumId w:val="16"/>
  </w:num>
  <w:num w:numId="38">
    <w:abstractNumId w:val="27"/>
  </w:num>
  <w:num w:numId="39">
    <w:abstractNumId w:val="42"/>
  </w:num>
  <w:num w:numId="40">
    <w:abstractNumId w:val="20"/>
  </w:num>
  <w:num w:numId="41">
    <w:abstractNumId w:val="28"/>
  </w:num>
  <w:num w:numId="42">
    <w:abstractNumId w:val="30"/>
  </w:num>
  <w:num w:numId="43">
    <w:abstractNumId w:val="39"/>
  </w:num>
  <w:num w:numId="44">
    <w:abstractNumId w:val="33"/>
  </w:num>
  <w:num w:numId="45">
    <w:abstractNumId w:val="34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26808"/>
    <w:rsid w:val="000327FC"/>
    <w:rsid w:val="00040114"/>
    <w:rsid w:val="000404E3"/>
    <w:rsid w:val="00040CA4"/>
    <w:rsid w:val="00043576"/>
    <w:rsid w:val="00043A91"/>
    <w:rsid w:val="00045A78"/>
    <w:rsid w:val="000501C9"/>
    <w:rsid w:val="00050918"/>
    <w:rsid w:val="00050C0D"/>
    <w:rsid w:val="00050EA5"/>
    <w:rsid w:val="00051E2E"/>
    <w:rsid w:val="000533E1"/>
    <w:rsid w:val="00054252"/>
    <w:rsid w:val="00056152"/>
    <w:rsid w:val="00056B56"/>
    <w:rsid w:val="00060810"/>
    <w:rsid w:val="00062FD3"/>
    <w:rsid w:val="00063795"/>
    <w:rsid w:val="0007185F"/>
    <w:rsid w:val="000744DC"/>
    <w:rsid w:val="000748E4"/>
    <w:rsid w:val="00074FCA"/>
    <w:rsid w:val="00076148"/>
    <w:rsid w:val="0008282B"/>
    <w:rsid w:val="00084772"/>
    <w:rsid w:val="00085CF4"/>
    <w:rsid w:val="0009527C"/>
    <w:rsid w:val="00096E74"/>
    <w:rsid w:val="0009781A"/>
    <w:rsid w:val="000A22A9"/>
    <w:rsid w:val="000A4CEB"/>
    <w:rsid w:val="000A5361"/>
    <w:rsid w:val="000A5D6C"/>
    <w:rsid w:val="000A6627"/>
    <w:rsid w:val="000A6CDA"/>
    <w:rsid w:val="000A7168"/>
    <w:rsid w:val="000B2596"/>
    <w:rsid w:val="000B34E1"/>
    <w:rsid w:val="000B4734"/>
    <w:rsid w:val="000B4AA0"/>
    <w:rsid w:val="000B4C00"/>
    <w:rsid w:val="000B6CF4"/>
    <w:rsid w:val="000C232E"/>
    <w:rsid w:val="000D1C2B"/>
    <w:rsid w:val="000D60F0"/>
    <w:rsid w:val="0010313C"/>
    <w:rsid w:val="001042A8"/>
    <w:rsid w:val="00106E3C"/>
    <w:rsid w:val="00106FC9"/>
    <w:rsid w:val="0010777C"/>
    <w:rsid w:val="0011163D"/>
    <w:rsid w:val="001116C9"/>
    <w:rsid w:val="00113287"/>
    <w:rsid w:val="001153A2"/>
    <w:rsid w:val="001176C9"/>
    <w:rsid w:val="001311D8"/>
    <w:rsid w:val="001319FB"/>
    <w:rsid w:val="00131A88"/>
    <w:rsid w:val="001364D9"/>
    <w:rsid w:val="001400C0"/>
    <w:rsid w:val="00140EF7"/>
    <w:rsid w:val="0014205F"/>
    <w:rsid w:val="00143F5A"/>
    <w:rsid w:val="001462F6"/>
    <w:rsid w:val="00154742"/>
    <w:rsid w:val="001548FC"/>
    <w:rsid w:val="0016144F"/>
    <w:rsid w:val="00165577"/>
    <w:rsid w:val="0016564C"/>
    <w:rsid w:val="001718CD"/>
    <w:rsid w:val="00171E0E"/>
    <w:rsid w:val="00172201"/>
    <w:rsid w:val="00172E6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C620D"/>
    <w:rsid w:val="001D04A1"/>
    <w:rsid w:val="001D0B01"/>
    <w:rsid w:val="001D206B"/>
    <w:rsid w:val="001D58B1"/>
    <w:rsid w:val="001D602A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2639"/>
    <w:rsid w:val="002138DB"/>
    <w:rsid w:val="002142A6"/>
    <w:rsid w:val="00214DAF"/>
    <w:rsid w:val="00216C34"/>
    <w:rsid w:val="00223F4D"/>
    <w:rsid w:val="00225871"/>
    <w:rsid w:val="00232F82"/>
    <w:rsid w:val="002342F3"/>
    <w:rsid w:val="0024301C"/>
    <w:rsid w:val="002435CD"/>
    <w:rsid w:val="00247475"/>
    <w:rsid w:val="00250A87"/>
    <w:rsid w:val="002537C9"/>
    <w:rsid w:val="00253EB6"/>
    <w:rsid w:val="002578EF"/>
    <w:rsid w:val="00257BC0"/>
    <w:rsid w:val="002600DF"/>
    <w:rsid w:val="00263904"/>
    <w:rsid w:val="00267245"/>
    <w:rsid w:val="00267764"/>
    <w:rsid w:val="002701CC"/>
    <w:rsid w:val="00277974"/>
    <w:rsid w:val="0028023D"/>
    <w:rsid w:val="00281FD4"/>
    <w:rsid w:val="00290ED5"/>
    <w:rsid w:val="00290F92"/>
    <w:rsid w:val="002946CE"/>
    <w:rsid w:val="00294D42"/>
    <w:rsid w:val="002A5C2E"/>
    <w:rsid w:val="002B0201"/>
    <w:rsid w:val="002B223B"/>
    <w:rsid w:val="002B3285"/>
    <w:rsid w:val="002C25B7"/>
    <w:rsid w:val="002C3316"/>
    <w:rsid w:val="002C5938"/>
    <w:rsid w:val="002C677B"/>
    <w:rsid w:val="002C7E97"/>
    <w:rsid w:val="002D1556"/>
    <w:rsid w:val="002D243D"/>
    <w:rsid w:val="002D5BCF"/>
    <w:rsid w:val="002D6583"/>
    <w:rsid w:val="002E2020"/>
    <w:rsid w:val="002E3E0F"/>
    <w:rsid w:val="002E49D5"/>
    <w:rsid w:val="002E6B7F"/>
    <w:rsid w:val="002E72E7"/>
    <w:rsid w:val="002E77BD"/>
    <w:rsid w:val="002F0BD7"/>
    <w:rsid w:val="002F177F"/>
    <w:rsid w:val="002F3803"/>
    <w:rsid w:val="002F7B2A"/>
    <w:rsid w:val="00301AC2"/>
    <w:rsid w:val="00303BE6"/>
    <w:rsid w:val="00305348"/>
    <w:rsid w:val="0031347E"/>
    <w:rsid w:val="00314E27"/>
    <w:rsid w:val="003207AC"/>
    <w:rsid w:val="0032123B"/>
    <w:rsid w:val="003217EF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0891"/>
    <w:rsid w:val="00351280"/>
    <w:rsid w:val="00351F98"/>
    <w:rsid w:val="00352407"/>
    <w:rsid w:val="00353502"/>
    <w:rsid w:val="003536DF"/>
    <w:rsid w:val="00357E3C"/>
    <w:rsid w:val="00362B13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291"/>
    <w:rsid w:val="003913FF"/>
    <w:rsid w:val="00391F49"/>
    <w:rsid w:val="00392415"/>
    <w:rsid w:val="00392FDF"/>
    <w:rsid w:val="00395D66"/>
    <w:rsid w:val="003A07F2"/>
    <w:rsid w:val="003A1E93"/>
    <w:rsid w:val="003A28FA"/>
    <w:rsid w:val="003A598F"/>
    <w:rsid w:val="003A6624"/>
    <w:rsid w:val="003A7B8B"/>
    <w:rsid w:val="003B0DE6"/>
    <w:rsid w:val="003B5FB1"/>
    <w:rsid w:val="003B7CDB"/>
    <w:rsid w:val="003C0F84"/>
    <w:rsid w:val="003C5046"/>
    <w:rsid w:val="003C562B"/>
    <w:rsid w:val="003C679A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17C88"/>
    <w:rsid w:val="004244D5"/>
    <w:rsid w:val="00434524"/>
    <w:rsid w:val="004350A1"/>
    <w:rsid w:val="00437AF0"/>
    <w:rsid w:val="00440B6D"/>
    <w:rsid w:val="0044124B"/>
    <w:rsid w:val="0044171F"/>
    <w:rsid w:val="0044184E"/>
    <w:rsid w:val="00443FDE"/>
    <w:rsid w:val="00446BA7"/>
    <w:rsid w:val="00450397"/>
    <w:rsid w:val="00450C95"/>
    <w:rsid w:val="0045637B"/>
    <w:rsid w:val="00464348"/>
    <w:rsid w:val="004657F2"/>
    <w:rsid w:val="00466421"/>
    <w:rsid w:val="0046688B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294"/>
    <w:rsid w:val="004A1ECF"/>
    <w:rsid w:val="004A27D8"/>
    <w:rsid w:val="004A510E"/>
    <w:rsid w:val="004A6DA2"/>
    <w:rsid w:val="004A7B12"/>
    <w:rsid w:val="004B5631"/>
    <w:rsid w:val="004B5BA6"/>
    <w:rsid w:val="004C013B"/>
    <w:rsid w:val="004C0907"/>
    <w:rsid w:val="004C135C"/>
    <w:rsid w:val="004C3658"/>
    <w:rsid w:val="004C3E30"/>
    <w:rsid w:val="004C4553"/>
    <w:rsid w:val="004C5178"/>
    <w:rsid w:val="004C5F66"/>
    <w:rsid w:val="004D59B1"/>
    <w:rsid w:val="004D61EE"/>
    <w:rsid w:val="004D6BC4"/>
    <w:rsid w:val="004D71AC"/>
    <w:rsid w:val="004D71C3"/>
    <w:rsid w:val="004E03EC"/>
    <w:rsid w:val="004E062F"/>
    <w:rsid w:val="004E0EEC"/>
    <w:rsid w:val="004E1D63"/>
    <w:rsid w:val="004E217C"/>
    <w:rsid w:val="004E599B"/>
    <w:rsid w:val="004F2C76"/>
    <w:rsid w:val="004F3F6E"/>
    <w:rsid w:val="004F4E75"/>
    <w:rsid w:val="004F4FC7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47B9"/>
    <w:rsid w:val="0052717E"/>
    <w:rsid w:val="005273AA"/>
    <w:rsid w:val="00527EFC"/>
    <w:rsid w:val="0053095A"/>
    <w:rsid w:val="00531A77"/>
    <w:rsid w:val="00534070"/>
    <w:rsid w:val="005409C6"/>
    <w:rsid w:val="005421EB"/>
    <w:rsid w:val="0054404D"/>
    <w:rsid w:val="0054576E"/>
    <w:rsid w:val="00545BFA"/>
    <w:rsid w:val="00546743"/>
    <w:rsid w:val="0055434B"/>
    <w:rsid w:val="005578B2"/>
    <w:rsid w:val="00563582"/>
    <w:rsid w:val="0056618D"/>
    <w:rsid w:val="0057160D"/>
    <w:rsid w:val="00574221"/>
    <w:rsid w:val="00586FA5"/>
    <w:rsid w:val="00590314"/>
    <w:rsid w:val="00591FEE"/>
    <w:rsid w:val="00592DF3"/>
    <w:rsid w:val="005932FE"/>
    <w:rsid w:val="00596E91"/>
    <w:rsid w:val="005A3290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879"/>
    <w:rsid w:val="005E0914"/>
    <w:rsid w:val="005E1B0E"/>
    <w:rsid w:val="005E4F7E"/>
    <w:rsid w:val="005E75D3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2C5"/>
    <w:rsid w:val="00617613"/>
    <w:rsid w:val="00622FC9"/>
    <w:rsid w:val="00626EF3"/>
    <w:rsid w:val="00637F81"/>
    <w:rsid w:val="00640A4C"/>
    <w:rsid w:val="0064207B"/>
    <w:rsid w:val="00650A8B"/>
    <w:rsid w:val="006547DA"/>
    <w:rsid w:val="006556D4"/>
    <w:rsid w:val="006561F9"/>
    <w:rsid w:val="00657C28"/>
    <w:rsid w:val="00661098"/>
    <w:rsid w:val="006635C0"/>
    <w:rsid w:val="00664AF1"/>
    <w:rsid w:val="00664EC6"/>
    <w:rsid w:val="006666D9"/>
    <w:rsid w:val="00670347"/>
    <w:rsid w:val="00671BC2"/>
    <w:rsid w:val="0067233F"/>
    <w:rsid w:val="006750EF"/>
    <w:rsid w:val="00675D1E"/>
    <w:rsid w:val="006875FA"/>
    <w:rsid w:val="00687E5B"/>
    <w:rsid w:val="00696847"/>
    <w:rsid w:val="006A175B"/>
    <w:rsid w:val="006A43D7"/>
    <w:rsid w:val="006A46B4"/>
    <w:rsid w:val="006A5107"/>
    <w:rsid w:val="006A7C0D"/>
    <w:rsid w:val="006B0097"/>
    <w:rsid w:val="006B1138"/>
    <w:rsid w:val="006B5B3B"/>
    <w:rsid w:val="006C4952"/>
    <w:rsid w:val="006C5C19"/>
    <w:rsid w:val="006C63BE"/>
    <w:rsid w:val="006C780D"/>
    <w:rsid w:val="006D33E7"/>
    <w:rsid w:val="006D34F3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5EB"/>
    <w:rsid w:val="006E6FAA"/>
    <w:rsid w:val="006F19C7"/>
    <w:rsid w:val="006F2973"/>
    <w:rsid w:val="006F31DE"/>
    <w:rsid w:val="006F4986"/>
    <w:rsid w:val="006F6A3A"/>
    <w:rsid w:val="006F7497"/>
    <w:rsid w:val="00703DE3"/>
    <w:rsid w:val="00703F6B"/>
    <w:rsid w:val="007060A7"/>
    <w:rsid w:val="00707CBB"/>
    <w:rsid w:val="007105F5"/>
    <w:rsid w:val="007223BD"/>
    <w:rsid w:val="007258E3"/>
    <w:rsid w:val="00725AA5"/>
    <w:rsid w:val="00726D4F"/>
    <w:rsid w:val="00727B68"/>
    <w:rsid w:val="00731125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014E"/>
    <w:rsid w:val="007642BF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A46C6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E75E0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238F"/>
    <w:rsid w:val="0082564C"/>
    <w:rsid w:val="00825DC5"/>
    <w:rsid w:val="00831B37"/>
    <w:rsid w:val="008342C4"/>
    <w:rsid w:val="00834BBF"/>
    <w:rsid w:val="00843B36"/>
    <w:rsid w:val="00843ED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B2D"/>
    <w:rsid w:val="00887E0C"/>
    <w:rsid w:val="00891D27"/>
    <w:rsid w:val="008924C4"/>
    <w:rsid w:val="00892E11"/>
    <w:rsid w:val="00893B8B"/>
    <w:rsid w:val="00893EB1"/>
    <w:rsid w:val="008966A9"/>
    <w:rsid w:val="00896BD5"/>
    <w:rsid w:val="008A06C0"/>
    <w:rsid w:val="008A1F84"/>
    <w:rsid w:val="008A56FD"/>
    <w:rsid w:val="008A7BC2"/>
    <w:rsid w:val="008B0C98"/>
    <w:rsid w:val="008B3A53"/>
    <w:rsid w:val="008B3C71"/>
    <w:rsid w:val="008B40F2"/>
    <w:rsid w:val="008B76A9"/>
    <w:rsid w:val="008B7767"/>
    <w:rsid w:val="008B7CC4"/>
    <w:rsid w:val="008B7D9D"/>
    <w:rsid w:val="008C33D2"/>
    <w:rsid w:val="008C41AE"/>
    <w:rsid w:val="008C6C9C"/>
    <w:rsid w:val="008C7A97"/>
    <w:rsid w:val="008D1230"/>
    <w:rsid w:val="008D14C4"/>
    <w:rsid w:val="008D28F9"/>
    <w:rsid w:val="008D438C"/>
    <w:rsid w:val="008D5423"/>
    <w:rsid w:val="008D7D63"/>
    <w:rsid w:val="008E184E"/>
    <w:rsid w:val="008E5F91"/>
    <w:rsid w:val="008F1381"/>
    <w:rsid w:val="008F2B1A"/>
    <w:rsid w:val="008F49BA"/>
    <w:rsid w:val="00900451"/>
    <w:rsid w:val="009028A3"/>
    <w:rsid w:val="009040BA"/>
    <w:rsid w:val="00904A13"/>
    <w:rsid w:val="009123A6"/>
    <w:rsid w:val="00915B87"/>
    <w:rsid w:val="00920AD6"/>
    <w:rsid w:val="00925B95"/>
    <w:rsid w:val="00933743"/>
    <w:rsid w:val="00934BCA"/>
    <w:rsid w:val="00934CBB"/>
    <w:rsid w:val="00934FBA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1DD"/>
    <w:rsid w:val="00962AD9"/>
    <w:rsid w:val="009669F5"/>
    <w:rsid w:val="00970775"/>
    <w:rsid w:val="00973EFC"/>
    <w:rsid w:val="00977FBE"/>
    <w:rsid w:val="009804CE"/>
    <w:rsid w:val="009829C2"/>
    <w:rsid w:val="009839B5"/>
    <w:rsid w:val="0098779A"/>
    <w:rsid w:val="00990647"/>
    <w:rsid w:val="00991A66"/>
    <w:rsid w:val="00992EB5"/>
    <w:rsid w:val="009A577B"/>
    <w:rsid w:val="009A6F85"/>
    <w:rsid w:val="009A7A18"/>
    <w:rsid w:val="009B007E"/>
    <w:rsid w:val="009B24E8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1453"/>
    <w:rsid w:val="009E305B"/>
    <w:rsid w:val="009E3255"/>
    <w:rsid w:val="009E3662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6B86"/>
    <w:rsid w:val="00A17CFB"/>
    <w:rsid w:val="00A17E8E"/>
    <w:rsid w:val="00A31088"/>
    <w:rsid w:val="00A316CC"/>
    <w:rsid w:val="00A31F0A"/>
    <w:rsid w:val="00A31FAB"/>
    <w:rsid w:val="00A35E5C"/>
    <w:rsid w:val="00A361F1"/>
    <w:rsid w:val="00A43A44"/>
    <w:rsid w:val="00A452EA"/>
    <w:rsid w:val="00A466C0"/>
    <w:rsid w:val="00A476B1"/>
    <w:rsid w:val="00A511A2"/>
    <w:rsid w:val="00A51A1D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0533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4DCC"/>
    <w:rsid w:val="00B0564C"/>
    <w:rsid w:val="00B11CE1"/>
    <w:rsid w:val="00B21D6E"/>
    <w:rsid w:val="00B2589D"/>
    <w:rsid w:val="00B26A7C"/>
    <w:rsid w:val="00B30126"/>
    <w:rsid w:val="00B3218A"/>
    <w:rsid w:val="00B32686"/>
    <w:rsid w:val="00B33854"/>
    <w:rsid w:val="00B36CC1"/>
    <w:rsid w:val="00B3739B"/>
    <w:rsid w:val="00B40212"/>
    <w:rsid w:val="00B41BEE"/>
    <w:rsid w:val="00B479E4"/>
    <w:rsid w:val="00B47B7A"/>
    <w:rsid w:val="00B52370"/>
    <w:rsid w:val="00B5238A"/>
    <w:rsid w:val="00B53AD7"/>
    <w:rsid w:val="00B559E6"/>
    <w:rsid w:val="00B61086"/>
    <w:rsid w:val="00B6427C"/>
    <w:rsid w:val="00B66644"/>
    <w:rsid w:val="00B67979"/>
    <w:rsid w:val="00B72AF1"/>
    <w:rsid w:val="00B73D29"/>
    <w:rsid w:val="00B74576"/>
    <w:rsid w:val="00B7719C"/>
    <w:rsid w:val="00B80148"/>
    <w:rsid w:val="00B84430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C0EB5"/>
    <w:rsid w:val="00BD0EAB"/>
    <w:rsid w:val="00BD41D9"/>
    <w:rsid w:val="00BE2684"/>
    <w:rsid w:val="00BE3585"/>
    <w:rsid w:val="00BE7074"/>
    <w:rsid w:val="00BE7A9A"/>
    <w:rsid w:val="00BF056F"/>
    <w:rsid w:val="00BF152B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8CB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37DB5"/>
    <w:rsid w:val="00C41DC7"/>
    <w:rsid w:val="00C4263D"/>
    <w:rsid w:val="00C454EE"/>
    <w:rsid w:val="00C4574E"/>
    <w:rsid w:val="00C45ACA"/>
    <w:rsid w:val="00C461CC"/>
    <w:rsid w:val="00C47483"/>
    <w:rsid w:val="00C500B1"/>
    <w:rsid w:val="00C5393D"/>
    <w:rsid w:val="00C54FFC"/>
    <w:rsid w:val="00C5503E"/>
    <w:rsid w:val="00C55F18"/>
    <w:rsid w:val="00C56D62"/>
    <w:rsid w:val="00C60442"/>
    <w:rsid w:val="00C61151"/>
    <w:rsid w:val="00C61E5E"/>
    <w:rsid w:val="00C63411"/>
    <w:rsid w:val="00C657D4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819C1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D7C07"/>
    <w:rsid w:val="00CE1B53"/>
    <w:rsid w:val="00CE3F52"/>
    <w:rsid w:val="00CE4B36"/>
    <w:rsid w:val="00CF0E8F"/>
    <w:rsid w:val="00CF231E"/>
    <w:rsid w:val="00CF27E1"/>
    <w:rsid w:val="00CF4E51"/>
    <w:rsid w:val="00CF58BC"/>
    <w:rsid w:val="00CF7BA3"/>
    <w:rsid w:val="00D014D7"/>
    <w:rsid w:val="00D02208"/>
    <w:rsid w:val="00D02F6F"/>
    <w:rsid w:val="00D03198"/>
    <w:rsid w:val="00D068C7"/>
    <w:rsid w:val="00D13A8D"/>
    <w:rsid w:val="00D162FD"/>
    <w:rsid w:val="00D1735D"/>
    <w:rsid w:val="00D23E53"/>
    <w:rsid w:val="00D249C8"/>
    <w:rsid w:val="00D24B39"/>
    <w:rsid w:val="00D3078B"/>
    <w:rsid w:val="00D34540"/>
    <w:rsid w:val="00D36DA3"/>
    <w:rsid w:val="00D406CE"/>
    <w:rsid w:val="00D40F49"/>
    <w:rsid w:val="00D41DBB"/>
    <w:rsid w:val="00D43089"/>
    <w:rsid w:val="00D45596"/>
    <w:rsid w:val="00D45845"/>
    <w:rsid w:val="00D4689E"/>
    <w:rsid w:val="00D476FD"/>
    <w:rsid w:val="00D5079C"/>
    <w:rsid w:val="00D54EDE"/>
    <w:rsid w:val="00D60039"/>
    <w:rsid w:val="00D618A0"/>
    <w:rsid w:val="00D655AE"/>
    <w:rsid w:val="00D70AF2"/>
    <w:rsid w:val="00D756D1"/>
    <w:rsid w:val="00D80382"/>
    <w:rsid w:val="00D8079E"/>
    <w:rsid w:val="00D836CD"/>
    <w:rsid w:val="00D84A22"/>
    <w:rsid w:val="00D866D6"/>
    <w:rsid w:val="00D93BD2"/>
    <w:rsid w:val="00D95139"/>
    <w:rsid w:val="00D971A8"/>
    <w:rsid w:val="00DA508C"/>
    <w:rsid w:val="00DA57DA"/>
    <w:rsid w:val="00DA7639"/>
    <w:rsid w:val="00DB52EC"/>
    <w:rsid w:val="00DB5856"/>
    <w:rsid w:val="00DB5D76"/>
    <w:rsid w:val="00DB65C6"/>
    <w:rsid w:val="00DC0FAA"/>
    <w:rsid w:val="00DC26D3"/>
    <w:rsid w:val="00DC3322"/>
    <w:rsid w:val="00DC62FB"/>
    <w:rsid w:val="00DC6BB0"/>
    <w:rsid w:val="00DC72C0"/>
    <w:rsid w:val="00DD2C5A"/>
    <w:rsid w:val="00DD70F6"/>
    <w:rsid w:val="00DD724A"/>
    <w:rsid w:val="00DE3851"/>
    <w:rsid w:val="00DE4A31"/>
    <w:rsid w:val="00DF1FB0"/>
    <w:rsid w:val="00DF4AB3"/>
    <w:rsid w:val="00E01F9E"/>
    <w:rsid w:val="00E04E50"/>
    <w:rsid w:val="00E0519B"/>
    <w:rsid w:val="00E14033"/>
    <w:rsid w:val="00E20874"/>
    <w:rsid w:val="00E215D1"/>
    <w:rsid w:val="00E22163"/>
    <w:rsid w:val="00E23AE1"/>
    <w:rsid w:val="00E2504C"/>
    <w:rsid w:val="00E30674"/>
    <w:rsid w:val="00E31487"/>
    <w:rsid w:val="00E33AE2"/>
    <w:rsid w:val="00E34C58"/>
    <w:rsid w:val="00E34EAA"/>
    <w:rsid w:val="00E41AE2"/>
    <w:rsid w:val="00E41EC7"/>
    <w:rsid w:val="00E45747"/>
    <w:rsid w:val="00E50DF6"/>
    <w:rsid w:val="00E51567"/>
    <w:rsid w:val="00E5528E"/>
    <w:rsid w:val="00E62F78"/>
    <w:rsid w:val="00E64BD1"/>
    <w:rsid w:val="00E66BE6"/>
    <w:rsid w:val="00E70D20"/>
    <w:rsid w:val="00E720E9"/>
    <w:rsid w:val="00E73650"/>
    <w:rsid w:val="00E73F31"/>
    <w:rsid w:val="00E73FBC"/>
    <w:rsid w:val="00E76056"/>
    <w:rsid w:val="00E77A37"/>
    <w:rsid w:val="00E77EB3"/>
    <w:rsid w:val="00E83829"/>
    <w:rsid w:val="00E83C00"/>
    <w:rsid w:val="00E840D2"/>
    <w:rsid w:val="00E856F5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1213"/>
    <w:rsid w:val="00EC37D2"/>
    <w:rsid w:val="00EC3D15"/>
    <w:rsid w:val="00EC6B37"/>
    <w:rsid w:val="00EC74D7"/>
    <w:rsid w:val="00ED02C7"/>
    <w:rsid w:val="00ED0C06"/>
    <w:rsid w:val="00ED2169"/>
    <w:rsid w:val="00ED5AF7"/>
    <w:rsid w:val="00ED7245"/>
    <w:rsid w:val="00EE1544"/>
    <w:rsid w:val="00EE25EB"/>
    <w:rsid w:val="00EF0CDF"/>
    <w:rsid w:val="00EF5206"/>
    <w:rsid w:val="00EF6530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4C6B"/>
    <w:rsid w:val="00F25753"/>
    <w:rsid w:val="00F308B2"/>
    <w:rsid w:val="00F32457"/>
    <w:rsid w:val="00F32AD7"/>
    <w:rsid w:val="00F330DE"/>
    <w:rsid w:val="00F341AB"/>
    <w:rsid w:val="00F4748F"/>
    <w:rsid w:val="00F501F9"/>
    <w:rsid w:val="00F515F2"/>
    <w:rsid w:val="00F51C46"/>
    <w:rsid w:val="00F52F8D"/>
    <w:rsid w:val="00F553D1"/>
    <w:rsid w:val="00F6194F"/>
    <w:rsid w:val="00F63985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5F7D"/>
    <w:rsid w:val="00FA691B"/>
    <w:rsid w:val="00FA7530"/>
    <w:rsid w:val="00FB26EF"/>
    <w:rsid w:val="00FB53EA"/>
    <w:rsid w:val="00FB62E5"/>
    <w:rsid w:val="00FB74BE"/>
    <w:rsid w:val="00FC04A8"/>
    <w:rsid w:val="00FC25C6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1611"/>
    <w:rsid w:val="00FF4E32"/>
    <w:rsid w:val="02C1889D"/>
    <w:rsid w:val="036FD8B3"/>
    <w:rsid w:val="0494EF46"/>
    <w:rsid w:val="0837F8B4"/>
    <w:rsid w:val="08C052FB"/>
    <w:rsid w:val="090FD0C3"/>
    <w:rsid w:val="09A071A4"/>
    <w:rsid w:val="0A3C8E99"/>
    <w:rsid w:val="0B19FBB2"/>
    <w:rsid w:val="0BEBA581"/>
    <w:rsid w:val="0CFC273E"/>
    <w:rsid w:val="0E289E77"/>
    <w:rsid w:val="0EA73A38"/>
    <w:rsid w:val="146B144F"/>
    <w:rsid w:val="152C650F"/>
    <w:rsid w:val="1585ADA6"/>
    <w:rsid w:val="166ED5A4"/>
    <w:rsid w:val="167B9015"/>
    <w:rsid w:val="18BD4E68"/>
    <w:rsid w:val="199617FE"/>
    <w:rsid w:val="1A2740EE"/>
    <w:rsid w:val="1A591EC9"/>
    <w:rsid w:val="1AC94753"/>
    <w:rsid w:val="1BAA889A"/>
    <w:rsid w:val="1E6579A4"/>
    <w:rsid w:val="2297AA12"/>
    <w:rsid w:val="2383B14E"/>
    <w:rsid w:val="24BE0563"/>
    <w:rsid w:val="2505C324"/>
    <w:rsid w:val="25A3BEF6"/>
    <w:rsid w:val="264E1EB1"/>
    <w:rsid w:val="28338420"/>
    <w:rsid w:val="29EED5D2"/>
    <w:rsid w:val="2B49DD29"/>
    <w:rsid w:val="2B8AA633"/>
    <w:rsid w:val="2C2E865E"/>
    <w:rsid w:val="32F279F9"/>
    <w:rsid w:val="3694AF2C"/>
    <w:rsid w:val="376D966D"/>
    <w:rsid w:val="37A38822"/>
    <w:rsid w:val="37B34492"/>
    <w:rsid w:val="37E8440F"/>
    <w:rsid w:val="3AEAE554"/>
    <w:rsid w:val="3C5CD16E"/>
    <w:rsid w:val="3D4FD906"/>
    <w:rsid w:val="3DA0FC89"/>
    <w:rsid w:val="3E00FCFA"/>
    <w:rsid w:val="42B55D2D"/>
    <w:rsid w:val="45323DD1"/>
    <w:rsid w:val="459007C9"/>
    <w:rsid w:val="45B66FF3"/>
    <w:rsid w:val="4947C1F3"/>
    <w:rsid w:val="49EA613E"/>
    <w:rsid w:val="4C5161D0"/>
    <w:rsid w:val="4D110368"/>
    <w:rsid w:val="4E409766"/>
    <w:rsid w:val="4F038806"/>
    <w:rsid w:val="50B1764D"/>
    <w:rsid w:val="517EE477"/>
    <w:rsid w:val="53140889"/>
    <w:rsid w:val="536EDC48"/>
    <w:rsid w:val="5AF61F17"/>
    <w:rsid w:val="5B5E4244"/>
    <w:rsid w:val="5CF9014E"/>
    <w:rsid w:val="5EAE8A61"/>
    <w:rsid w:val="5F008373"/>
    <w:rsid w:val="609C53D4"/>
    <w:rsid w:val="62821EE5"/>
    <w:rsid w:val="62DE1227"/>
    <w:rsid w:val="630D308F"/>
    <w:rsid w:val="6D6C6924"/>
    <w:rsid w:val="6E78301C"/>
    <w:rsid w:val="6EB8BBF9"/>
    <w:rsid w:val="6F08D0FD"/>
    <w:rsid w:val="716EF196"/>
    <w:rsid w:val="738F693E"/>
    <w:rsid w:val="740F9991"/>
    <w:rsid w:val="75EBD7F2"/>
    <w:rsid w:val="76DBD5E4"/>
    <w:rsid w:val="7729A6A8"/>
    <w:rsid w:val="7729D7D9"/>
    <w:rsid w:val="788A15F4"/>
    <w:rsid w:val="78C57709"/>
    <w:rsid w:val="78C8B13B"/>
    <w:rsid w:val="7A305987"/>
    <w:rsid w:val="7BF4DFE0"/>
    <w:rsid w:val="7D33BA1A"/>
    <w:rsid w:val="7E25ADC1"/>
    <w:rsid w:val="7ED7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82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315">
                                  <w:marLeft w:val="2100"/>
                                  <w:marRight w:val="0"/>
                                  <w:marTop w:val="12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6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bm.hsbc.com/en-gb/campaigns/sfi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bm.hsbc.com/en-gb/campaigns/sfi-survey?form=MY01SV&amp;OCID=MY01S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.jezek@havas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5441A3495B42AA64C0A5B8B5C6B8" ma:contentTypeVersion="9" ma:contentTypeDescription="Create a new document." ma:contentTypeScope="" ma:versionID="863f966748ecd725c5fec7f751ba6bd4">
  <xsd:schema xmlns:xsd="http://www.w3.org/2001/XMLSchema" xmlns:xs="http://www.w3.org/2001/XMLSchema" xmlns:p="http://schemas.microsoft.com/office/2006/metadata/properties" xmlns:ns2="ee7fe9e9-6b66-4d6c-9489-9e15edd41206" targetNamespace="http://schemas.microsoft.com/office/2006/metadata/properties" ma:root="true" ma:fieldsID="c09a0db65cc59956d96be3dad52f81d7" ns2:_="">
    <xsd:import namespace="ee7fe9e9-6b66-4d6c-9489-9e15edd41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e9e9-6b66-4d6c-9489-9e15edd4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708E8-8B35-4B7E-9753-51818AF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41A93-7C67-4756-9837-A65482176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77898-A681-1F41-810F-15998A3E6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ACF1B-49F7-4885-8D97-B94554FE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fe9e9-6b66-4d6c-9489-9e15edd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2003</vt:lpstr>
    </vt:vector>
  </TitlesOfParts>
  <Company>TOSHIBA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Ivana Cernohorska</cp:lastModifiedBy>
  <cp:revision>2</cp:revision>
  <cp:lastPrinted>2018-06-06T15:10:00Z</cp:lastPrinted>
  <dcterms:created xsi:type="dcterms:W3CDTF">2021-10-07T13:03:00Z</dcterms:created>
  <dcterms:modified xsi:type="dcterms:W3CDTF">2021-10-07T13:03:00Z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0x01010074F05441A3495B42AA64C0A5B8B5C6B8</vt:lpwstr>
  </property>
</Properties>
</file>