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89A4" w14:textId="4D6DDE5A" w:rsidR="00CB2703" w:rsidRPr="00836718" w:rsidRDefault="00FC7AF6" w:rsidP="00284DFB">
      <w:pPr>
        <w:pStyle w:val="deksdatem"/>
        <w:rPr>
          <w:color w:val="000000" w:themeColor="text1"/>
        </w:rPr>
      </w:pPr>
      <w:r w:rsidRPr="00836718">
        <w:rPr>
          <w:color w:val="000000" w:themeColor="text1"/>
        </w:rPr>
        <w:t xml:space="preserve">Brno </w:t>
      </w:r>
      <w:r w:rsidR="00383FAE">
        <w:rPr>
          <w:color w:val="000000" w:themeColor="text1"/>
        </w:rPr>
        <w:t>27</w:t>
      </w:r>
      <w:r w:rsidR="003C3D19" w:rsidRPr="00836718">
        <w:rPr>
          <w:color w:val="000000" w:themeColor="text1"/>
        </w:rPr>
        <w:t xml:space="preserve">. </w:t>
      </w:r>
      <w:r w:rsidR="007F29BB">
        <w:rPr>
          <w:color w:val="000000" w:themeColor="text1"/>
        </w:rPr>
        <w:t>března</w:t>
      </w:r>
      <w:r w:rsidR="003C3D19" w:rsidRPr="00836718">
        <w:rPr>
          <w:color w:val="000000" w:themeColor="text1"/>
        </w:rPr>
        <w:t xml:space="preserve"> 202</w:t>
      </w:r>
      <w:r w:rsidR="005A639B" w:rsidRPr="00836718">
        <w:rPr>
          <w:color w:val="000000" w:themeColor="text1"/>
        </w:rPr>
        <w:t>3</w:t>
      </w:r>
    </w:p>
    <w:p w14:paraId="0BA35263" w14:textId="4B38540B" w:rsidR="00D8731F" w:rsidRDefault="0040072E" w:rsidP="00D8731F">
      <w:pPr>
        <w:pStyle w:val="paragraph"/>
        <w:jc w:val="center"/>
        <w:rPr>
          <w:b/>
          <w:bCs/>
          <w:color w:val="000000" w:themeColor="text1"/>
        </w:rPr>
      </w:pPr>
      <w:r>
        <w:rPr>
          <w:rStyle w:val="spellingerror"/>
          <w:rFonts w:ascii="Century Gothic" w:hAnsi="Century Gothic" w:cs="Arial"/>
          <w:b/>
          <w:bCs/>
          <w:color w:val="000000" w:themeColor="text1"/>
          <w:lang w:val="cs-CZ"/>
        </w:rPr>
        <w:t xml:space="preserve">S předstihem připravuje </w:t>
      </w:r>
      <w:r w:rsidR="00D8731F">
        <w:rPr>
          <w:rStyle w:val="spellingerror"/>
          <w:rFonts w:ascii="Century Gothic" w:hAnsi="Century Gothic" w:cs="Arial"/>
          <w:b/>
          <w:bCs/>
          <w:color w:val="000000" w:themeColor="text1"/>
          <w:lang w:val="cs-CZ"/>
        </w:rPr>
        <w:t xml:space="preserve">daňové přiznání </w:t>
      </w:r>
      <w:r>
        <w:rPr>
          <w:rStyle w:val="spellingerror"/>
          <w:rFonts w:ascii="Century Gothic" w:hAnsi="Century Gothic" w:cs="Arial"/>
          <w:b/>
          <w:bCs/>
          <w:color w:val="000000" w:themeColor="text1"/>
          <w:lang w:val="cs-CZ"/>
        </w:rPr>
        <w:t>57</w:t>
      </w:r>
      <w:r w:rsidR="00D8731F">
        <w:rPr>
          <w:rStyle w:val="spellingerror"/>
          <w:rFonts w:ascii="Century Gothic" w:hAnsi="Century Gothic" w:cs="Arial"/>
          <w:b/>
          <w:bCs/>
          <w:color w:val="000000" w:themeColor="text1"/>
          <w:lang w:val="cs-CZ"/>
        </w:rPr>
        <w:t xml:space="preserve"> procent českých firem</w:t>
      </w:r>
    </w:p>
    <w:p w14:paraId="063053F3" w14:textId="0AF7F7E4" w:rsidR="00D8731F" w:rsidRDefault="0040072E" w:rsidP="00C858DC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Více než polovina organizací podává </w:t>
      </w:r>
      <w:r w:rsidRPr="0040072E">
        <w:rPr>
          <w:b/>
          <w:bCs/>
          <w:color w:val="000000" w:themeColor="text1"/>
        </w:rPr>
        <w:t>daňové přiznání z příjmu právnických osob (DPPO) s předstihem –</w:t>
      </w:r>
      <w:r>
        <w:rPr>
          <w:b/>
          <w:bCs/>
          <w:color w:val="000000" w:themeColor="text1"/>
        </w:rPr>
        <w:t xml:space="preserve"> takových </w:t>
      </w:r>
      <w:r w:rsidRPr="0040072E">
        <w:rPr>
          <w:b/>
          <w:bCs/>
          <w:color w:val="000000" w:themeColor="text1"/>
        </w:rPr>
        <w:t>je 57 procent. Respondenti to nejvíce přičítají dobrému plánování a dobře nastavenými procesy, na druhém místě uvádějí kvalitní účetní software, který mnoho úkonů automatizuje. Pomáhá také dostatečný počet účetních těsně následovaný spolehlivými klienty, kteří dodávají podklady včas.</w:t>
      </w:r>
      <w:r>
        <w:rPr>
          <w:b/>
          <w:bCs/>
          <w:color w:val="000000" w:themeColor="text1"/>
        </w:rPr>
        <w:t xml:space="preserve"> </w:t>
      </w:r>
      <w:r w:rsidR="00D8731F">
        <w:rPr>
          <w:b/>
          <w:bCs/>
          <w:color w:val="000000" w:themeColor="text1"/>
        </w:rPr>
        <w:t xml:space="preserve">Prozradil to výzkum, který pro společnost Seyfor, </w:t>
      </w:r>
      <w:r w:rsidR="00D8731F" w:rsidRPr="00D8731F">
        <w:rPr>
          <w:b/>
          <w:bCs/>
          <w:color w:val="000000" w:themeColor="text1"/>
        </w:rPr>
        <w:t>největší</w:t>
      </w:r>
      <w:r w:rsidR="00D8731F">
        <w:rPr>
          <w:b/>
          <w:bCs/>
          <w:color w:val="000000" w:themeColor="text1"/>
        </w:rPr>
        <w:t>ho</w:t>
      </w:r>
      <w:r w:rsidR="00D8731F" w:rsidRPr="00D8731F">
        <w:rPr>
          <w:b/>
          <w:bCs/>
          <w:color w:val="000000" w:themeColor="text1"/>
        </w:rPr>
        <w:t xml:space="preserve"> výrobce účetních, ERP a mzdových a personálních systémů v České republice</w:t>
      </w:r>
      <w:r w:rsidR="00D8731F">
        <w:rPr>
          <w:b/>
          <w:bCs/>
          <w:color w:val="000000" w:themeColor="text1"/>
        </w:rPr>
        <w:t xml:space="preserve"> a jedn</w:t>
      </w:r>
      <w:r>
        <w:rPr>
          <w:b/>
          <w:bCs/>
          <w:color w:val="000000" w:themeColor="text1"/>
        </w:rPr>
        <w:t>oho</w:t>
      </w:r>
      <w:r w:rsidR="00D8731F">
        <w:rPr>
          <w:b/>
          <w:bCs/>
          <w:color w:val="000000" w:themeColor="text1"/>
        </w:rPr>
        <w:t xml:space="preserve"> z velkých evropských dodavatelů ICT řešení, zpracovala agentura M</w:t>
      </w:r>
      <w:r w:rsidR="00280800">
        <w:rPr>
          <w:b/>
          <w:bCs/>
          <w:color w:val="000000" w:themeColor="text1"/>
        </w:rPr>
        <w:t>N</w:t>
      </w:r>
      <w:r w:rsidR="00D8731F">
        <w:rPr>
          <w:b/>
          <w:bCs/>
          <w:color w:val="000000" w:themeColor="text1"/>
        </w:rPr>
        <w:t>force.</w:t>
      </w:r>
    </w:p>
    <w:p w14:paraId="156F59B5" w14:textId="0EBFC5B5" w:rsidR="007A56F4" w:rsidRDefault="005C3CFB" w:rsidP="006E184E">
      <w:pPr>
        <w:jc w:val="both"/>
        <w:rPr>
          <w:color w:val="000000" w:themeColor="text1"/>
        </w:rPr>
      </w:pPr>
      <w:r w:rsidRPr="004A3078">
        <w:rPr>
          <w:i/>
          <w:iCs/>
          <w:color w:val="000000" w:themeColor="text1"/>
        </w:rPr>
        <w:t>„</w:t>
      </w:r>
      <w:r w:rsidR="00F96348" w:rsidRPr="00F96348">
        <w:rPr>
          <w:i/>
          <w:iCs/>
          <w:color w:val="000000" w:themeColor="text1"/>
        </w:rPr>
        <w:t xml:space="preserve">V posledních letech je jak </w:t>
      </w:r>
      <w:r w:rsidR="00F96348">
        <w:rPr>
          <w:i/>
          <w:iCs/>
          <w:color w:val="000000" w:themeColor="text1"/>
        </w:rPr>
        <w:t xml:space="preserve">na </w:t>
      </w:r>
      <w:r w:rsidR="00F96348" w:rsidRPr="00F96348">
        <w:rPr>
          <w:i/>
          <w:iCs/>
          <w:color w:val="000000" w:themeColor="text1"/>
        </w:rPr>
        <w:t>stran</w:t>
      </w:r>
      <w:r w:rsidR="00F96348">
        <w:rPr>
          <w:i/>
          <w:iCs/>
          <w:color w:val="000000" w:themeColor="text1"/>
        </w:rPr>
        <w:t>ě</w:t>
      </w:r>
      <w:r w:rsidR="00F96348" w:rsidRPr="00F96348">
        <w:rPr>
          <w:i/>
          <w:iCs/>
          <w:color w:val="000000" w:themeColor="text1"/>
        </w:rPr>
        <w:t xml:space="preserve"> státní správy, tak stran</w:t>
      </w:r>
      <w:r w:rsidR="00F96348">
        <w:rPr>
          <w:i/>
          <w:iCs/>
          <w:color w:val="000000" w:themeColor="text1"/>
        </w:rPr>
        <w:t>ě</w:t>
      </w:r>
      <w:r w:rsidR="00F96348" w:rsidRPr="00F96348">
        <w:rPr>
          <w:i/>
          <w:iCs/>
          <w:color w:val="000000" w:themeColor="text1"/>
        </w:rPr>
        <w:t xml:space="preserve"> výrobců účetních systémů viditelný trend </w:t>
      </w:r>
      <w:r w:rsidR="00F96348">
        <w:rPr>
          <w:i/>
          <w:iCs/>
          <w:color w:val="000000" w:themeColor="text1"/>
        </w:rPr>
        <w:t xml:space="preserve">vedoucí k maximální možné </w:t>
      </w:r>
      <w:r w:rsidR="00F96348" w:rsidRPr="00F96348">
        <w:rPr>
          <w:i/>
          <w:iCs/>
          <w:color w:val="000000" w:themeColor="text1"/>
        </w:rPr>
        <w:t xml:space="preserve">digitalizaci. Podání daňového přiznání </w:t>
      </w:r>
      <w:r w:rsidR="00F96348">
        <w:rPr>
          <w:i/>
          <w:iCs/>
          <w:color w:val="000000" w:themeColor="text1"/>
        </w:rPr>
        <w:t xml:space="preserve">už díky tomu </w:t>
      </w:r>
      <w:r w:rsidR="00F96348" w:rsidRPr="00F96348">
        <w:rPr>
          <w:i/>
          <w:iCs/>
          <w:color w:val="000000" w:themeColor="text1"/>
        </w:rPr>
        <w:t>není časově náročné</w:t>
      </w:r>
      <w:r w:rsidR="00F96348">
        <w:rPr>
          <w:i/>
          <w:iCs/>
          <w:color w:val="000000" w:themeColor="text1"/>
        </w:rPr>
        <w:t>,</w:t>
      </w:r>
      <w:r w:rsidR="00F96348" w:rsidRPr="00F96348">
        <w:rPr>
          <w:i/>
          <w:iCs/>
          <w:color w:val="000000" w:themeColor="text1"/>
        </w:rPr>
        <w:t xml:space="preserve"> a pokud klienti používají kvalitní a ověřené účetní systémy, tak pracnost není a nemůže být důvod k</w:t>
      </w:r>
      <w:r w:rsidR="00F96348">
        <w:rPr>
          <w:i/>
          <w:iCs/>
          <w:color w:val="000000" w:themeColor="text1"/>
        </w:rPr>
        <w:t> </w:t>
      </w:r>
      <w:r w:rsidR="00F96348" w:rsidRPr="00F96348">
        <w:rPr>
          <w:i/>
          <w:iCs/>
          <w:color w:val="000000" w:themeColor="text1"/>
        </w:rPr>
        <w:t>odkladu</w:t>
      </w:r>
      <w:r w:rsidR="00F96348">
        <w:rPr>
          <w:i/>
          <w:iCs/>
          <w:color w:val="000000" w:themeColor="text1"/>
        </w:rPr>
        <w:t xml:space="preserve"> podání přiznání</w:t>
      </w:r>
      <w:r w:rsidR="004A3078" w:rsidRPr="004A3078">
        <w:rPr>
          <w:i/>
          <w:iCs/>
          <w:color w:val="000000" w:themeColor="text1"/>
        </w:rPr>
        <w:t>,“</w:t>
      </w:r>
      <w:r w:rsidR="004A3078">
        <w:rPr>
          <w:color w:val="000000" w:themeColor="text1"/>
        </w:rPr>
        <w:t xml:space="preserve"> říká</w:t>
      </w:r>
      <w:r w:rsidR="00F96348">
        <w:rPr>
          <w:color w:val="000000" w:themeColor="text1"/>
        </w:rPr>
        <w:t xml:space="preserve"> </w:t>
      </w:r>
      <w:r w:rsidR="00F96348" w:rsidRPr="00F96348">
        <w:rPr>
          <w:color w:val="000000" w:themeColor="text1"/>
        </w:rPr>
        <w:t>Tomáš Loukota</w:t>
      </w:r>
      <w:r w:rsidR="00F96348">
        <w:rPr>
          <w:color w:val="000000" w:themeColor="text1"/>
        </w:rPr>
        <w:t>, výkonný ředitel pro malé podniky</w:t>
      </w:r>
      <w:r w:rsidR="004A3078">
        <w:rPr>
          <w:color w:val="000000" w:themeColor="text1"/>
        </w:rPr>
        <w:t xml:space="preserve"> společnosti Seyfor.</w:t>
      </w:r>
      <w:r w:rsidR="00F11975">
        <w:rPr>
          <w:color w:val="000000" w:themeColor="text1"/>
        </w:rPr>
        <w:t xml:space="preserve"> </w:t>
      </w:r>
      <w:r w:rsidR="0066095A">
        <w:rPr>
          <w:color w:val="000000" w:themeColor="text1"/>
        </w:rPr>
        <w:t xml:space="preserve">Ta vyvíjí </w:t>
      </w:r>
      <w:r w:rsidR="00F11975">
        <w:rPr>
          <w:color w:val="000000" w:themeColor="text1"/>
        </w:rPr>
        <w:t>účetní systém Money S3 určený podnikatelům a menším organizacím či robustní systém Money ERP pro větší organizace.</w:t>
      </w:r>
      <w:r w:rsidR="00F11975">
        <w:rPr>
          <w:i/>
          <w:iCs/>
          <w:color w:val="000000" w:themeColor="text1"/>
        </w:rPr>
        <w:t xml:space="preserve"> </w:t>
      </w:r>
    </w:p>
    <w:p w14:paraId="3D2457E1" w14:textId="07BF27A4" w:rsidR="0040072E" w:rsidRDefault="0040072E" w:rsidP="006E184E">
      <w:pPr>
        <w:jc w:val="both"/>
        <w:rPr>
          <w:color w:val="000000" w:themeColor="text1"/>
        </w:rPr>
      </w:pPr>
      <w:r w:rsidRPr="0040072E">
        <w:rPr>
          <w:color w:val="000000" w:themeColor="text1"/>
        </w:rPr>
        <w:t xml:space="preserve">Méně než polovina – přesně 43 procenta – českých firem nechává daňové přiznání </w:t>
      </w:r>
      <w:r>
        <w:rPr>
          <w:color w:val="000000" w:themeColor="text1"/>
        </w:rPr>
        <w:t xml:space="preserve">DPPO </w:t>
      </w:r>
      <w:r w:rsidRPr="0040072E">
        <w:rPr>
          <w:color w:val="000000" w:themeColor="text1"/>
        </w:rPr>
        <w:t>na poslední chvíli. Nejčastějším důvodem je komplikovanost a časová náročnost přiznání, ale také nedostatek času na straně zpracovatele, příliš mnoho klientů na účetního a nedodržování termínů ze strany klienta.</w:t>
      </w:r>
      <w:r>
        <w:rPr>
          <w:color w:val="000000" w:themeColor="text1"/>
        </w:rPr>
        <w:t xml:space="preserve"> </w:t>
      </w:r>
      <w:r w:rsidR="003D68EC">
        <w:rPr>
          <w:color w:val="000000" w:themeColor="text1"/>
        </w:rPr>
        <w:t>Také tyto informace vyplývají z </w:t>
      </w:r>
      <w:r>
        <w:rPr>
          <w:color w:val="000000" w:themeColor="text1"/>
        </w:rPr>
        <w:t>průzkum</w:t>
      </w:r>
      <w:r w:rsidR="003D68EC">
        <w:rPr>
          <w:color w:val="000000" w:themeColor="text1"/>
        </w:rPr>
        <w:t xml:space="preserve">u agentury </w:t>
      </w:r>
      <w:r>
        <w:rPr>
          <w:color w:val="000000" w:themeColor="text1"/>
        </w:rPr>
        <w:t>M</w:t>
      </w:r>
      <w:r w:rsidR="00280800">
        <w:rPr>
          <w:color w:val="000000" w:themeColor="text1"/>
        </w:rPr>
        <w:t>N</w:t>
      </w:r>
      <w:r>
        <w:rPr>
          <w:color w:val="000000" w:themeColor="text1"/>
        </w:rPr>
        <w:t>force pro Seyfor.</w:t>
      </w:r>
      <w:r w:rsidR="00712160">
        <w:rPr>
          <w:color w:val="000000" w:themeColor="text1"/>
        </w:rPr>
        <w:t xml:space="preserve"> Oslovila více než 250 účetních či majitelů firem, ale i společností zpracovávajících účetnictví pro jiné. </w:t>
      </w:r>
    </w:p>
    <w:p w14:paraId="06271317" w14:textId="559555AF" w:rsidR="00F11975" w:rsidRPr="0002740E" w:rsidRDefault="00F11975" w:rsidP="006E184E">
      <w:pPr>
        <w:jc w:val="both"/>
        <w:rPr>
          <w:b/>
          <w:bCs/>
          <w:color w:val="000000" w:themeColor="text1"/>
        </w:rPr>
      </w:pPr>
      <w:r w:rsidRPr="0002740E">
        <w:rPr>
          <w:b/>
          <w:bCs/>
          <w:color w:val="000000" w:themeColor="text1"/>
        </w:rPr>
        <w:t xml:space="preserve">Konec března není </w:t>
      </w:r>
      <w:r w:rsidR="0002740E" w:rsidRPr="0002740E">
        <w:rPr>
          <w:b/>
          <w:bCs/>
          <w:color w:val="000000" w:themeColor="text1"/>
        </w:rPr>
        <w:t>nejzazším termínem pro daňové přiznání</w:t>
      </w:r>
    </w:p>
    <w:p w14:paraId="07153DC6" w14:textId="2B065155" w:rsidR="0002740E" w:rsidRDefault="0002740E" w:rsidP="006E184E">
      <w:pPr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Pr="0002740E">
        <w:rPr>
          <w:color w:val="000000" w:themeColor="text1"/>
        </w:rPr>
        <w:t>aňové přiznání k</w:t>
      </w:r>
      <w:r>
        <w:rPr>
          <w:color w:val="000000" w:themeColor="text1"/>
        </w:rPr>
        <w:t xml:space="preserve"> DPPO se podle takzvaného </w:t>
      </w:r>
      <w:r w:rsidRPr="0002740E">
        <w:rPr>
          <w:color w:val="000000" w:themeColor="text1"/>
        </w:rPr>
        <w:t>daňov</w:t>
      </w:r>
      <w:r>
        <w:rPr>
          <w:color w:val="000000" w:themeColor="text1"/>
        </w:rPr>
        <w:t xml:space="preserve">ého </w:t>
      </w:r>
      <w:r w:rsidRPr="0002740E">
        <w:rPr>
          <w:color w:val="000000" w:themeColor="text1"/>
        </w:rPr>
        <w:t>řád</w:t>
      </w:r>
      <w:r>
        <w:rPr>
          <w:color w:val="000000" w:themeColor="text1"/>
        </w:rPr>
        <w:t xml:space="preserve">u podává </w:t>
      </w:r>
      <w:r w:rsidRPr="0002740E">
        <w:rPr>
          <w:color w:val="000000" w:themeColor="text1"/>
        </w:rPr>
        <w:t xml:space="preserve">nejpozději do </w:t>
      </w:r>
      <w:r>
        <w:rPr>
          <w:color w:val="000000" w:themeColor="text1"/>
        </w:rPr>
        <w:t>tří</w:t>
      </w:r>
      <w:r w:rsidRPr="0002740E">
        <w:rPr>
          <w:color w:val="000000" w:themeColor="text1"/>
        </w:rPr>
        <w:t xml:space="preserve"> měsíců po uplynutí zdaňovacího období</w:t>
      </w:r>
      <w:r>
        <w:rPr>
          <w:color w:val="000000" w:themeColor="text1"/>
        </w:rPr>
        <w:t xml:space="preserve">, při podání elektronickou formou je ovšem lhůta čtyřměsíční, a pokud musí mít </w:t>
      </w:r>
      <w:r w:rsidRPr="0002740E">
        <w:rPr>
          <w:color w:val="000000" w:themeColor="text1"/>
        </w:rPr>
        <w:t xml:space="preserve">daňový subjekt </w:t>
      </w:r>
      <w:r>
        <w:rPr>
          <w:color w:val="000000" w:themeColor="text1"/>
        </w:rPr>
        <w:t xml:space="preserve">ze </w:t>
      </w:r>
      <w:r w:rsidRPr="0002740E">
        <w:rPr>
          <w:color w:val="000000" w:themeColor="text1"/>
        </w:rPr>
        <w:t>zákon</w:t>
      </w:r>
      <w:r>
        <w:rPr>
          <w:color w:val="000000" w:themeColor="text1"/>
        </w:rPr>
        <w:t>a</w:t>
      </w:r>
      <w:r w:rsidRPr="0002740E">
        <w:rPr>
          <w:color w:val="000000" w:themeColor="text1"/>
        </w:rPr>
        <w:t xml:space="preserve"> účetní závěrku ověřenou </w:t>
      </w:r>
      <w:r w:rsidRPr="0002740E">
        <w:rPr>
          <w:color w:val="000000" w:themeColor="text1"/>
        </w:rPr>
        <w:lastRenderedPageBreak/>
        <w:t xml:space="preserve">auditorem, nebo </w:t>
      </w:r>
      <w:r>
        <w:rPr>
          <w:color w:val="000000" w:themeColor="text1"/>
        </w:rPr>
        <w:t xml:space="preserve">bylo </w:t>
      </w:r>
      <w:r w:rsidRPr="0002740E">
        <w:rPr>
          <w:color w:val="000000" w:themeColor="text1"/>
        </w:rPr>
        <w:t>daňové přiznání podáno poradcem</w:t>
      </w:r>
      <w:r>
        <w:rPr>
          <w:color w:val="000000" w:themeColor="text1"/>
        </w:rPr>
        <w:t>, je lhůta šestiměsíční</w:t>
      </w:r>
      <w:r w:rsidRPr="0002740E">
        <w:rPr>
          <w:color w:val="000000" w:themeColor="text1"/>
        </w:rPr>
        <w:t>.</w:t>
      </w:r>
      <w:r>
        <w:rPr>
          <w:color w:val="000000" w:themeColor="text1"/>
        </w:rPr>
        <w:t xml:space="preserve"> Pro </w:t>
      </w:r>
      <w:r w:rsidR="0085370B">
        <w:rPr>
          <w:color w:val="000000" w:themeColor="text1"/>
        </w:rPr>
        <w:t xml:space="preserve">většinu organizací, jejichž hospodářský rok je shodný s kalendářním rokem tak letos pro </w:t>
      </w:r>
      <w:r>
        <w:rPr>
          <w:color w:val="000000" w:themeColor="text1"/>
        </w:rPr>
        <w:t xml:space="preserve">podání daňového přiznání za rok 2022 platí tři termíny: </w:t>
      </w:r>
      <w:r w:rsidR="000619AD">
        <w:rPr>
          <w:color w:val="000000" w:themeColor="text1"/>
        </w:rPr>
        <w:t xml:space="preserve">pondělí </w:t>
      </w:r>
      <w:r>
        <w:rPr>
          <w:color w:val="000000" w:themeColor="text1"/>
        </w:rPr>
        <w:t xml:space="preserve">3. dubna 2023 pro fyzické podání, </w:t>
      </w:r>
      <w:r w:rsidR="000619AD">
        <w:rPr>
          <w:color w:val="000000" w:themeColor="text1"/>
        </w:rPr>
        <w:t xml:space="preserve">úterý </w:t>
      </w:r>
      <w:r>
        <w:rPr>
          <w:color w:val="000000" w:themeColor="text1"/>
        </w:rPr>
        <w:t>2. května 2023 pro elektronické podání</w:t>
      </w:r>
      <w:r w:rsidR="000619AD">
        <w:rPr>
          <w:color w:val="000000" w:themeColor="text1"/>
        </w:rPr>
        <w:t xml:space="preserve"> a pondělí 3. července 2023 pro podání s poradcem či auditem.</w:t>
      </w:r>
    </w:p>
    <w:p w14:paraId="0373E6BE" w14:textId="21C5681A" w:rsidR="00E44D53" w:rsidRPr="00E44D53" w:rsidRDefault="00E44D53" w:rsidP="006E184E">
      <w:pPr>
        <w:jc w:val="both"/>
        <w:rPr>
          <w:b/>
          <w:bCs/>
          <w:color w:val="000000" w:themeColor="text1"/>
        </w:rPr>
      </w:pPr>
      <w:r w:rsidRPr="00E44D53">
        <w:rPr>
          <w:b/>
          <w:bCs/>
          <w:color w:val="000000" w:themeColor="text1"/>
        </w:rPr>
        <w:t>Počet daňových přiznání historicky poprvé klesl</w:t>
      </w:r>
    </w:p>
    <w:p w14:paraId="7B27E8C9" w14:textId="673ACCAA" w:rsidR="000619AD" w:rsidRDefault="00F96348" w:rsidP="00F96348">
      <w:pPr>
        <w:jc w:val="both"/>
        <w:rPr>
          <w:color w:val="000000" w:themeColor="text1"/>
        </w:rPr>
      </w:pPr>
      <w:r w:rsidRPr="00F96348">
        <w:rPr>
          <w:color w:val="000000" w:themeColor="text1"/>
        </w:rPr>
        <w:t>V roce 2022 došlo k h</w:t>
      </w:r>
      <w:r w:rsidR="000619AD" w:rsidRPr="00F96348">
        <w:rPr>
          <w:color w:val="000000" w:themeColor="text1"/>
        </w:rPr>
        <w:t>istoricky první</w:t>
      </w:r>
      <w:r w:rsidRPr="00F96348">
        <w:rPr>
          <w:color w:val="000000" w:themeColor="text1"/>
        </w:rPr>
        <w:t>mu</w:t>
      </w:r>
      <w:r w:rsidR="000619AD" w:rsidRPr="00F96348">
        <w:rPr>
          <w:color w:val="000000" w:themeColor="text1"/>
        </w:rPr>
        <w:t xml:space="preserve"> pokles</w:t>
      </w:r>
      <w:r w:rsidRPr="00F96348">
        <w:rPr>
          <w:color w:val="000000" w:themeColor="text1"/>
        </w:rPr>
        <w:t>u</w:t>
      </w:r>
      <w:r w:rsidR="000619AD" w:rsidRPr="00F96348">
        <w:rPr>
          <w:color w:val="000000" w:themeColor="text1"/>
        </w:rPr>
        <w:t xml:space="preserve"> počtu daňových přiznání k DPPO za rok 2021 (bylo jich 559 641). </w:t>
      </w:r>
      <w:r w:rsidRPr="00F96348">
        <w:rPr>
          <w:color w:val="000000" w:themeColor="text1"/>
        </w:rPr>
        <w:t>Oproti přiznáním za rok 2020 jich u</w:t>
      </w:r>
      <w:r w:rsidR="000619AD" w:rsidRPr="00F96348">
        <w:rPr>
          <w:color w:val="000000" w:themeColor="text1"/>
        </w:rPr>
        <w:t>bylo téměř 22 tisíc a jejich počet se tak dostal na úroveň roku 2017</w:t>
      </w:r>
      <w:r w:rsidR="004E55CF" w:rsidRPr="00F96348">
        <w:rPr>
          <w:color w:val="000000" w:themeColor="text1"/>
        </w:rPr>
        <w:t xml:space="preserve"> (tehdy jich bylo 558 797)</w:t>
      </w:r>
      <w:r w:rsidR="000619AD" w:rsidRPr="00F96348">
        <w:rPr>
          <w:color w:val="000000" w:themeColor="text1"/>
        </w:rPr>
        <w:t>.</w:t>
      </w:r>
      <w:r w:rsidR="00D869BE">
        <w:rPr>
          <w:color w:val="000000" w:themeColor="text1"/>
        </w:rPr>
        <w:t xml:space="preserve"> Vyplývá to ze statistik Generálního finančního ředitelství Ministerstva financí ČR</w:t>
      </w:r>
      <w:r w:rsidR="0066095A">
        <w:rPr>
          <w:color w:val="000000" w:themeColor="text1"/>
        </w:rPr>
        <w:t>.</w:t>
      </w:r>
      <w:r w:rsidR="00E44D53" w:rsidRPr="004E55CF">
        <w:rPr>
          <w:i/>
          <w:iCs/>
          <w:color w:val="000000" w:themeColor="text1"/>
        </w:rPr>
        <w:t xml:space="preserve"> </w:t>
      </w:r>
    </w:p>
    <w:p w14:paraId="1142E47D" w14:textId="38B9F236" w:rsidR="00BB3301" w:rsidRPr="007A56F4" w:rsidRDefault="00C35C2F" w:rsidP="006E184E">
      <w:pPr>
        <w:jc w:val="both"/>
        <w:rPr>
          <w:color w:val="000000" w:themeColor="text1"/>
        </w:rPr>
      </w:pPr>
      <w:r>
        <w:rPr>
          <w:noProof/>
        </w:rPr>
        <w:drawing>
          <wp:inline distT="0" distB="0" distL="0" distR="0" wp14:anchorId="508DD589" wp14:editId="254FC4BC">
            <wp:extent cx="5467927" cy="2955637"/>
            <wp:effectExtent l="0" t="0" r="6350" b="1651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1525190-E23A-7A33-2600-4FD1F43869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9B08B16" w14:textId="77777777" w:rsidR="0066095A" w:rsidRDefault="0066095A" w:rsidP="006E184E">
      <w:pPr>
        <w:jc w:val="both"/>
        <w:rPr>
          <w:b/>
          <w:bCs/>
          <w:color w:val="000000" w:themeColor="text1"/>
        </w:rPr>
      </w:pPr>
    </w:p>
    <w:p w14:paraId="50853272" w14:textId="77777777" w:rsidR="0066095A" w:rsidRDefault="0066095A" w:rsidP="006E184E">
      <w:pPr>
        <w:jc w:val="both"/>
        <w:rPr>
          <w:b/>
          <w:bCs/>
          <w:color w:val="000000" w:themeColor="text1"/>
        </w:rPr>
      </w:pPr>
    </w:p>
    <w:p w14:paraId="7BCD5034" w14:textId="76986C71" w:rsidR="0079342B" w:rsidRPr="00F87DED" w:rsidRDefault="004E55CF" w:rsidP="006E184E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Průměrná zaplacená daň činila </w:t>
      </w:r>
      <w:r w:rsidR="00E64950">
        <w:rPr>
          <w:b/>
          <w:bCs/>
          <w:color w:val="000000" w:themeColor="text1"/>
        </w:rPr>
        <w:t>389 tisíc korun</w:t>
      </w:r>
    </w:p>
    <w:p w14:paraId="0C0E163F" w14:textId="2DAFC62C" w:rsidR="00D90C39" w:rsidRDefault="00CB693A" w:rsidP="00D90C39">
      <w:pPr>
        <w:jc w:val="both"/>
        <w:rPr>
          <w:color w:val="000000" w:themeColor="text1"/>
        </w:rPr>
      </w:pPr>
      <w:r>
        <w:rPr>
          <w:color w:val="000000" w:themeColor="text1"/>
        </w:rPr>
        <w:t>V</w:t>
      </w:r>
      <w:r w:rsidR="004E55CF">
        <w:rPr>
          <w:color w:val="000000" w:themeColor="text1"/>
        </w:rPr>
        <w:t> </w:t>
      </w:r>
      <w:r>
        <w:rPr>
          <w:color w:val="000000" w:themeColor="text1"/>
        </w:rPr>
        <w:t>průměru</w:t>
      </w:r>
      <w:r w:rsidR="004E55CF">
        <w:rPr>
          <w:color w:val="000000" w:themeColor="text1"/>
        </w:rPr>
        <w:t xml:space="preserve"> </w:t>
      </w:r>
      <w:r w:rsidR="00780AB1">
        <w:rPr>
          <w:color w:val="000000" w:themeColor="text1"/>
        </w:rPr>
        <w:t>za</w:t>
      </w:r>
      <w:r w:rsidR="004E55CF">
        <w:rPr>
          <w:color w:val="000000" w:themeColor="text1"/>
        </w:rPr>
        <w:t>plat</w:t>
      </w:r>
      <w:r w:rsidR="00780AB1">
        <w:rPr>
          <w:color w:val="000000" w:themeColor="text1"/>
        </w:rPr>
        <w:t>ila</w:t>
      </w:r>
      <w:r w:rsidR="004E55CF">
        <w:rPr>
          <w:color w:val="000000" w:themeColor="text1"/>
        </w:rPr>
        <w:t xml:space="preserve"> jedna organizace podle </w:t>
      </w:r>
      <w:r w:rsidR="00780AB1">
        <w:rPr>
          <w:color w:val="000000" w:themeColor="text1"/>
        </w:rPr>
        <w:t>souhrnných údajů Finanční správy z </w:t>
      </w:r>
      <w:r w:rsidR="004E55CF">
        <w:rPr>
          <w:color w:val="000000" w:themeColor="text1"/>
        </w:rPr>
        <w:t>DPPO</w:t>
      </w:r>
      <w:r w:rsidR="00780AB1">
        <w:rPr>
          <w:color w:val="000000" w:themeColor="text1"/>
        </w:rPr>
        <w:t xml:space="preserve"> za rok 2021</w:t>
      </w:r>
      <w:r w:rsidR="004E55CF">
        <w:rPr>
          <w:color w:val="000000" w:themeColor="text1"/>
        </w:rPr>
        <w:t xml:space="preserve"> částku 389 tisíc. Nižší částku odvádí zhruba 520 tisíc organizací, naopak vyšší daň zaplatí přes 40 tisíc organizací. </w:t>
      </w:r>
      <w:r w:rsidR="00217969" w:rsidRPr="00D869BE">
        <w:rPr>
          <w:color w:val="000000" w:themeColor="text1"/>
        </w:rPr>
        <w:t xml:space="preserve">První polovinu vybrané daně z příjmů právnických osob zaplatilo 559 tisíc subjektů, druhou polovinu pak už jen 701 subjektů. </w:t>
      </w:r>
      <w:r w:rsidR="004E55CF" w:rsidRPr="00D869BE">
        <w:rPr>
          <w:color w:val="000000" w:themeColor="text1"/>
        </w:rPr>
        <w:t>Šestice největších firem zaplatila na dani z příjmu za rok 2021 v průměru tři miliardy korun</w:t>
      </w:r>
      <w:r w:rsidR="00827954" w:rsidRPr="00D869BE">
        <w:rPr>
          <w:color w:val="000000" w:themeColor="text1"/>
        </w:rPr>
        <w:t>.</w:t>
      </w:r>
      <w:r w:rsidR="004E55CF">
        <w:rPr>
          <w:color w:val="000000" w:themeColor="text1"/>
        </w:rPr>
        <w:t xml:space="preserve"> </w:t>
      </w:r>
    </w:p>
    <w:tbl>
      <w:tblPr>
        <w:tblW w:w="8505" w:type="dxa"/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6"/>
      </w:tblGrid>
      <w:tr w:rsidR="00D90C39" w:rsidRPr="00D90C39" w14:paraId="56B3950C" w14:textId="77777777" w:rsidTr="00D90C39">
        <w:trPr>
          <w:trHeight w:val="72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hideMark/>
          </w:tcPr>
          <w:p w14:paraId="65159E44" w14:textId="77777777" w:rsidR="00D90C39" w:rsidRPr="00D90C39" w:rsidRDefault="00D90C39" w:rsidP="00D90C39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FFFFFF"/>
                <w:sz w:val="22"/>
                <w:lang w:eastAsia="en-GB"/>
              </w:rPr>
              <w:t>Základ daně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hideMark/>
          </w:tcPr>
          <w:p w14:paraId="09657AC6" w14:textId="77777777" w:rsidR="00D90C39" w:rsidRPr="00D90C39" w:rsidRDefault="00D90C39" w:rsidP="00D90C39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FFFFFF"/>
                <w:sz w:val="22"/>
                <w:lang w:eastAsia="en-GB"/>
              </w:rPr>
              <w:t>Počet daňových přiznání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hideMark/>
          </w:tcPr>
          <w:p w14:paraId="1523B47B" w14:textId="77777777" w:rsidR="00D90C39" w:rsidRPr="00D90C39" w:rsidRDefault="00D90C39" w:rsidP="00D90C39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FFFFFF"/>
                <w:sz w:val="22"/>
                <w:lang w:eastAsia="en-GB"/>
              </w:rPr>
              <w:t>Celková zaplacená daň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hideMark/>
          </w:tcPr>
          <w:p w14:paraId="15CF8F27" w14:textId="77777777" w:rsidR="00D90C39" w:rsidRPr="00D90C39" w:rsidRDefault="00D90C39" w:rsidP="00D90C39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FFFFFF"/>
                <w:sz w:val="22"/>
                <w:lang w:eastAsia="en-GB"/>
              </w:rPr>
              <w:t>Průměrná daň na subjekt</w:t>
            </w:r>
          </w:p>
        </w:tc>
      </w:tr>
      <w:tr w:rsidR="00D90C39" w:rsidRPr="00D90C39" w14:paraId="7B2264A7" w14:textId="77777777" w:rsidTr="00D90C3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9CAF2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000000"/>
                <w:sz w:val="22"/>
                <w:lang w:eastAsia="en-GB"/>
              </w:rPr>
              <w:t>do 1 tis.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B7ABB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000000"/>
                <w:sz w:val="22"/>
                <w:lang w:eastAsia="en-GB"/>
              </w:rPr>
              <w:t>351 735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04973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000000"/>
                <w:sz w:val="22"/>
                <w:lang w:eastAsia="en-GB"/>
              </w:rPr>
              <w:t>85 328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EA1CE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000000"/>
                <w:sz w:val="22"/>
                <w:lang w:eastAsia="en-GB"/>
              </w:rPr>
              <w:t>0</w:t>
            </w:r>
          </w:p>
        </w:tc>
      </w:tr>
      <w:tr w:rsidR="00D90C39" w:rsidRPr="00D90C39" w14:paraId="3552F956" w14:textId="77777777" w:rsidTr="00D90C3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hideMark/>
          </w:tcPr>
          <w:p w14:paraId="717C4E94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000000"/>
                <w:sz w:val="22"/>
                <w:lang w:eastAsia="en-GB"/>
              </w:rPr>
              <w:t>1-300 tis.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hideMark/>
          </w:tcPr>
          <w:p w14:paraId="48DF83F8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000000"/>
                <w:sz w:val="22"/>
                <w:lang w:eastAsia="en-GB"/>
              </w:rPr>
              <w:t>110 802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hideMark/>
          </w:tcPr>
          <w:p w14:paraId="41D692D7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000000"/>
                <w:sz w:val="22"/>
                <w:lang w:eastAsia="en-GB"/>
              </w:rPr>
              <w:t>1 596 595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hideMark/>
          </w:tcPr>
          <w:p w14:paraId="5FCC2276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000000"/>
                <w:sz w:val="22"/>
                <w:lang w:eastAsia="en-GB"/>
              </w:rPr>
              <w:t>14</w:t>
            </w:r>
          </w:p>
        </w:tc>
      </w:tr>
      <w:tr w:rsidR="00D90C39" w:rsidRPr="00D90C39" w14:paraId="0E3DB052" w14:textId="77777777" w:rsidTr="00D90C3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4245E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000000"/>
                <w:sz w:val="22"/>
                <w:lang w:eastAsia="en-GB"/>
              </w:rPr>
              <w:t>300 tis. - 5 mil.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418F8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000000"/>
                <w:sz w:val="22"/>
                <w:lang w:eastAsia="en-GB"/>
              </w:rPr>
              <w:t>75 310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EAE5F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000000"/>
                <w:sz w:val="22"/>
                <w:lang w:eastAsia="en-GB"/>
              </w:rPr>
              <w:t>20 146 799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448E7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000000"/>
                <w:sz w:val="22"/>
                <w:lang w:eastAsia="en-GB"/>
              </w:rPr>
              <w:t>268</w:t>
            </w:r>
          </w:p>
        </w:tc>
      </w:tr>
      <w:tr w:rsidR="00D90C39" w:rsidRPr="00D90C39" w14:paraId="026BE9B7" w14:textId="77777777" w:rsidTr="00D90C3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hideMark/>
          </w:tcPr>
          <w:p w14:paraId="6FA1EA91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000000"/>
                <w:sz w:val="22"/>
                <w:lang w:eastAsia="en-GB"/>
              </w:rPr>
              <w:t>5-100 mil.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hideMark/>
          </w:tcPr>
          <w:p w14:paraId="31B0A008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000000"/>
                <w:sz w:val="22"/>
                <w:lang w:eastAsia="en-GB"/>
              </w:rPr>
              <w:t>20 363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hideMark/>
          </w:tcPr>
          <w:p w14:paraId="5FF82759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000000"/>
                <w:sz w:val="22"/>
                <w:lang w:eastAsia="en-GB"/>
              </w:rPr>
              <w:t>68 903 443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hideMark/>
          </w:tcPr>
          <w:p w14:paraId="4E0A765F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000000"/>
                <w:sz w:val="22"/>
                <w:lang w:eastAsia="en-GB"/>
              </w:rPr>
              <w:t>3 384</w:t>
            </w:r>
          </w:p>
        </w:tc>
      </w:tr>
      <w:tr w:rsidR="00D90C39" w:rsidRPr="00D90C39" w14:paraId="5F06673D" w14:textId="77777777" w:rsidTr="00D90C3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1C4BC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000000"/>
                <w:sz w:val="22"/>
                <w:lang w:eastAsia="en-GB"/>
              </w:rPr>
              <w:t>100-500 mil.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51D11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000000"/>
                <w:sz w:val="22"/>
                <w:lang w:eastAsia="en-GB"/>
              </w:rPr>
              <w:t>1 177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8EB91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000000"/>
                <w:sz w:val="22"/>
                <w:lang w:eastAsia="en-GB"/>
              </w:rPr>
              <w:t>41 527 603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1CA9C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000000"/>
                <w:sz w:val="22"/>
                <w:lang w:eastAsia="en-GB"/>
              </w:rPr>
              <w:t>35 283</w:t>
            </w:r>
          </w:p>
        </w:tc>
      </w:tr>
      <w:tr w:rsidR="00D90C39" w:rsidRPr="00D90C39" w14:paraId="6242C916" w14:textId="77777777" w:rsidTr="00D90C3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hideMark/>
          </w:tcPr>
          <w:p w14:paraId="13B37236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000000"/>
                <w:sz w:val="22"/>
                <w:lang w:eastAsia="en-GB"/>
              </w:rPr>
              <w:t>500 mil - 1 mld.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hideMark/>
          </w:tcPr>
          <w:p w14:paraId="66312AC0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000000"/>
                <w:sz w:val="22"/>
                <w:lang w:eastAsia="en-GB"/>
              </w:rPr>
              <w:t>134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hideMark/>
          </w:tcPr>
          <w:p w14:paraId="0741FD3E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000000"/>
                <w:sz w:val="22"/>
                <w:lang w:eastAsia="en-GB"/>
              </w:rPr>
              <w:t>15 932 873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hideMark/>
          </w:tcPr>
          <w:p w14:paraId="099CDFCF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000000"/>
                <w:sz w:val="22"/>
                <w:lang w:eastAsia="en-GB"/>
              </w:rPr>
              <w:t>118 902</w:t>
            </w:r>
          </w:p>
        </w:tc>
      </w:tr>
      <w:tr w:rsidR="00D90C39" w:rsidRPr="00D90C39" w14:paraId="730D8891" w14:textId="77777777" w:rsidTr="00D90C3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9365F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000000"/>
                <w:sz w:val="22"/>
                <w:lang w:eastAsia="en-GB"/>
              </w:rPr>
              <w:t>1-3 mld.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7AB22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000000"/>
                <w:sz w:val="22"/>
                <w:lang w:eastAsia="en-GB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D2245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000000"/>
                <w:sz w:val="22"/>
                <w:lang w:eastAsia="en-GB"/>
              </w:rPr>
              <w:t>22 694 089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8B8FC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000000"/>
                <w:sz w:val="22"/>
                <w:lang w:eastAsia="en-GB"/>
              </w:rPr>
              <w:t>270 168</w:t>
            </w:r>
          </w:p>
        </w:tc>
      </w:tr>
      <w:tr w:rsidR="00D90C39" w:rsidRPr="00D90C39" w14:paraId="1C2BDE1D" w14:textId="77777777" w:rsidTr="00D90C3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hideMark/>
          </w:tcPr>
          <w:p w14:paraId="693D0787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000000"/>
                <w:sz w:val="22"/>
                <w:lang w:eastAsia="en-GB"/>
              </w:rPr>
              <w:t>3-10 mld.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hideMark/>
          </w:tcPr>
          <w:p w14:paraId="6556B2C3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hideMark/>
          </w:tcPr>
          <w:p w14:paraId="4A14D22F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000000"/>
                <w:sz w:val="22"/>
                <w:lang w:eastAsia="en-GB"/>
              </w:rPr>
              <w:t>28 790 729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hideMark/>
          </w:tcPr>
          <w:p w14:paraId="1BD02BC5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000000"/>
                <w:sz w:val="22"/>
                <w:lang w:eastAsia="en-GB"/>
              </w:rPr>
              <w:t>959 691</w:t>
            </w:r>
          </w:p>
        </w:tc>
      </w:tr>
      <w:tr w:rsidR="00D90C39" w:rsidRPr="00D90C39" w14:paraId="2F70369C" w14:textId="77777777" w:rsidTr="00D90C3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4C531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000000"/>
                <w:sz w:val="22"/>
                <w:lang w:eastAsia="en-GB"/>
              </w:rPr>
              <w:t>10 mld. a více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DCDA8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76C3D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000000"/>
                <w:sz w:val="22"/>
                <w:lang w:eastAsia="en-GB"/>
              </w:rPr>
              <w:t>17 971 201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04191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000000"/>
                <w:sz w:val="22"/>
                <w:lang w:eastAsia="en-GB"/>
              </w:rPr>
              <w:t>2 995 200</w:t>
            </w:r>
          </w:p>
        </w:tc>
      </w:tr>
      <w:tr w:rsidR="00D90C39" w:rsidRPr="00D90C39" w14:paraId="76A62CFE" w14:textId="77777777" w:rsidTr="00D90C3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hideMark/>
          </w:tcPr>
          <w:p w14:paraId="7EEBDDE7" w14:textId="77777777" w:rsidR="00D90C39" w:rsidRPr="00D90C39" w:rsidRDefault="00D90C39" w:rsidP="00D90C39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FFFFFF"/>
                <w:sz w:val="22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hideMark/>
          </w:tcPr>
          <w:p w14:paraId="39ACE1F3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FFFFFF"/>
                <w:sz w:val="22"/>
                <w:lang w:eastAsia="en-GB"/>
              </w:rPr>
              <w:t>559 641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hideMark/>
          </w:tcPr>
          <w:p w14:paraId="38650B02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FFFFFF"/>
                <w:sz w:val="22"/>
                <w:lang w:eastAsia="en-GB"/>
              </w:rPr>
              <w:t>217 648 661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hideMark/>
          </w:tcPr>
          <w:p w14:paraId="17641C81" w14:textId="77777777" w:rsidR="00D90C39" w:rsidRPr="00D90C39" w:rsidRDefault="00D90C39" w:rsidP="00D90C39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22"/>
                <w:lang w:eastAsia="en-GB"/>
              </w:rPr>
            </w:pPr>
            <w:r w:rsidRPr="00D90C39">
              <w:rPr>
                <w:rFonts w:eastAsia="Times New Roman" w:cs="Calibri"/>
                <w:color w:val="FFFFFF"/>
                <w:sz w:val="22"/>
                <w:lang w:eastAsia="en-GB"/>
              </w:rPr>
              <w:t> </w:t>
            </w:r>
          </w:p>
        </w:tc>
      </w:tr>
    </w:tbl>
    <w:p w14:paraId="331EF1FE" w14:textId="695C113C" w:rsidR="007A56F4" w:rsidRDefault="00D90C39" w:rsidP="00D90C3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30BCB878" w14:textId="77777777" w:rsidR="00AB63B5" w:rsidRDefault="00AB63B5" w:rsidP="00D90C39">
      <w:pPr>
        <w:jc w:val="both"/>
        <w:rPr>
          <w:color w:val="000000" w:themeColor="text1"/>
        </w:rPr>
      </w:pPr>
    </w:p>
    <w:p w14:paraId="55B1D7DB" w14:textId="77777777" w:rsidR="00C858DC" w:rsidRPr="00836718" w:rsidRDefault="00C858DC" w:rsidP="00174F6F">
      <w:pPr>
        <w:jc w:val="both"/>
        <w:rPr>
          <w:b/>
          <w:bCs/>
          <w:color w:val="000000" w:themeColor="text1"/>
        </w:rPr>
      </w:pPr>
      <w:r w:rsidRPr="00836718">
        <w:rPr>
          <w:b/>
          <w:bCs/>
          <w:color w:val="000000" w:themeColor="text1"/>
        </w:rPr>
        <w:t xml:space="preserve">O společnosti Seyfor  </w:t>
      </w:r>
    </w:p>
    <w:p w14:paraId="46132DF9" w14:textId="046646CF" w:rsidR="00C858DC" w:rsidRDefault="00C858DC" w:rsidP="00174F6F">
      <w:pPr>
        <w:jc w:val="both"/>
        <w:rPr>
          <w:color w:val="000000" w:themeColor="text1"/>
        </w:rPr>
      </w:pPr>
      <w:bookmarkStart w:id="0" w:name="_Hlk127368292"/>
      <w:r w:rsidRPr="00836718">
        <w:rPr>
          <w:color w:val="000000" w:themeColor="text1"/>
        </w:rPr>
        <w:t>Seyfor se řadí k velkým evropským dodavatelům ICT řešení. Společnost má přes</w:t>
      </w:r>
      <w:r w:rsidR="003C3D19" w:rsidRPr="00836718">
        <w:rPr>
          <w:color w:val="000000" w:themeColor="text1"/>
        </w:rPr>
        <w:t> </w:t>
      </w:r>
      <w:r w:rsidRPr="00836718">
        <w:rPr>
          <w:color w:val="000000" w:themeColor="text1"/>
        </w:rPr>
        <w:t>1</w:t>
      </w:r>
      <w:r w:rsidR="003C3D19" w:rsidRPr="00836718">
        <w:rPr>
          <w:color w:val="000000" w:themeColor="text1"/>
        </w:rPr>
        <w:t> </w:t>
      </w:r>
      <w:r w:rsidRPr="00836718">
        <w:rPr>
          <w:color w:val="000000" w:themeColor="text1"/>
        </w:rPr>
        <w:t>600</w:t>
      </w:r>
      <w:r w:rsidR="003C3D19" w:rsidRPr="00836718">
        <w:rPr>
          <w:color w:val="000000" w:themeColor="text1"/>
        </w:rPr>
        <w:t> </w:t>
      </w:r>
      <w:r w:rsidRPr="00836718">
        <w:rPr>
          <w:color w:val="000000" w:themeColor="text1"/>
        </w:rPr>
        <w:t>zaměstnanců v osmi zemích a celosvětově obsluhuje zákazníky ve 38</w:t>
      </w:r>
      <w:r w:rsidR="00F00B74">
        <w:rPr>
          <w:color w:val="000000" w:themeColor="text1"/>
        </w:rPr>
        <w:t> </w:t>
      </w:r>
      <w:r w:rsidRPr="00836718">
        <w:rPr>
          <w:color w:val="000000" w:themeColor="text1"/>
        </w:rPr>
        <w:t xml:space="preserve">státech. Dlouhodobě </w:t>
      </w:r>
      <w:proofErr w:type="gramStart"/>
      <w:r w:rsidRPr="00836718">
        <w:rPr>
          <w:color w:val="000000" w:themeColor="text1"/>
        </w:rPr>
        <w:t>patří</w:t>
      </w:r>
      <w:proofErr w:type="gramEnd"/>
      <w:r w:rsidRPr="00836718">
        <w:rPr>
          <w:color w:val="000000" w:themeColor="text1"/>
        </w:rPr>
        <w:t xml:space="preserve"> k nejrychleji rostoucím IT společnostem v regionu. Je </w:t>
      </w:r>
      <w:bookmarkStart w:id="1" w:name="OLE_LINK1"/>
      <w:r w:rsidRPr="00836718">
        <w:rPr>
          <w:color w:val="000000" w:themeColor="text1"/>
        </w:rPr>
        <w:t>největším výrobcem účetních, ERP a mzdových a personálních systémů v České republice</w:t>
      </w:r>
      <w:bookmarkEnd w:id="1"/>
      <w:r w:rsidRPr="00836718">
        <w:rPr>
          <w:color w:val="000000" w:themeColor="text1"/>
        </w:rPr>
        <w:t xml:space="preserve">, v roce 2022 </w:t>
      </w:r>
      <w:r w:rsidR="00763AE8">
        <w:rPr>
          <w:color w:val="000000" w:themeColor="text1"/>
        </w:rPr>
        <w:t>přesáhly</w:t>
      </w:r>
      <w:r w:rsidRPr="00836718">
        <w:rPr>
          <w:color w:val="000000" w:themeColor="text1"/>
        </w:rPr>
        <w:t xml:space="preserve"> konsolidovan</w:t>
      </w:r>
      <w:r w:rsidR="00763AE8">
        <w:rPr>
          <w:color w:val="000000" w:themeColor="text1"/>
        </w:rPr>
        <w:t>é</w:t>
      </w:r>
      <w:r w:rsidRPr="00836718">
        <w:rPr>
          <w:color w:val="000000" w:themeColor="text1"/>
        </w:rPr>
        <w:t xml:space="preserve"> výnos</w:t>
      </w:r>
      <w:r w:rsidR="00763AE8">
        <w:rPr>
          <w:color w:val="000000" w:themeColor="text1"/>
        </w:rPr>
        <w:t xml:space="preserve">y </w:t>
      </w:r>
      <w:r w:rsidR="00173664">
        <w:rPr>
          <w:color w:val="000000" w:themeColor="text1"/>
        </w:rPr>
        <w:t>tři</w:t>
      </w:r>
      <w:r w:rsidR="00610AF0">
        <w:rPr>
          <w:color w:val="000000" w:themeColor="text1"/>
        </w:rPr>
        <w:t> </w:t>
      </w:r>
      <w:r w:rsidRPr="00836718">
        <w:rPr>
          <w:color w:val="000000" w:themeColor="text1"/>
        </w:rPr>
        <w:t>mi</w:t>
      </w:r>
      <w:r w:rsidR="00071EE1">
        <w:rPr>
          <w:color w:val="000000" w:themeColor="text1"/>
        </w:rPr>
        <w:t>liardy</w:t>
      </w:r>
      <w:r w:rsidRPr="00836718">
        <w:rPr>
          <w:color w:val="000000" w:themeColor="text1"/>
        </w:rPr>
        <w:t xml:space="preserve"> </w:t>
      </w:r>
      <w:r w:rsidR="00071EE1">
        <w:rPr>
          <w:color w:val="000000" w:themeColor="text1"/>
        </w:rPr>
        <w:t>koru</w:t>
      </w:r>
      <w:r w:rsidR="00762EC9">
        <w:rPr>
          <w:color w:val="000000" w:themeColor="text1"/>
        </w:rPr>
        <w:t>n</w:t>
      </w:r>
      <w:r w:rsidRPr="00836718">
        <w:rPr>
          <w:color w:val="000000" w:themeColor="text1"/>
        </w:rPr>
        <w:t>. Společnost uskutečnila v</w:t>
      </w:r>
      <w:r w:rsidR="003C3D19" w:rsidRPr="00836718">
        <w:rPr>
          <w:color w:val="000000" w:themeColor="text1"/>
        </w:rPr>
        <w:t> </w:t>
      </w:r>
      <w:r w:rsidRPr="00836718">
        <w:rPr>
          <w:color w:val="000000" w:themeColor="text1"/>
        </w:rPr>
        <w:t>posledních letech desítky významných akvizic IT firem v České i Slovenské republice a</w:t>
      </w:r>
      <w:r w:rsidR="003C3D19" w:rsidRPr="00836718">
        <w:rPr>
          <w:color w:val="000000" w:themeColor="text1"/>
        </w:rPr>
        <w:t> </w:t>
      </w:r>
      <w:r w:rsidRPr="00836718">
        <w:rPr>
          <w:color w:val="000000" w:themeColor="text1"/>
        </w:rPr>
        <w:t xml:space="preserve">také na Balkáně. Ovládajícími vlastníky společnosti jsou slovenská private equity </w:t>
      </w:r>
      <w:r w:rsidRPr="00836718">
        <w:rPr>
          <w:color w:val="000000" w:themeColor="text1"/>
        </w:rPr>
        <w:lastRenderedPageBreak/>
        <w:t>společnost Sandberg Capital a Martin Cígler. Firma byla založena v roce 1990 jako Cígler Software, v letech 2017–22 působila pod značkou Solitea.</w:t>
      </w:r>
    </w:p>
    <w:bookmarkEnd w:id="0"/>
    <w:p w14:paraId="727A479C" w14:textId="0EF50EE9" w:rsidR="00056067" w:rsidRPr="00836718" w:rsidRDefault="00C858DC" w:rsidP="00C858DC">
      <w:pPr>
        <w:spacing w:line="240" w:lineRule="atLeast"/>
        <w:rPr>
          <w:b/>
          <w:bCs/>
          <w:color w:val="000000" w:themeColor="text1"/>
        </w:rPr>
      </w:pPr>
      <w:r w:rsidRPr="00836718">
        <w:rPr>
          <w:b/>
          <w:bCs/>
          <w:color w:val="000000" w:themeColor="text1"/>
        </w:rPr>
        <w:t xml:space="preserve">Kontakt pro média: </w:t>
      </w:r>
      <w:r w:rsidRPr="00836718">
        <w:rPr>
          <w:color w:val="000000" w:themeColor="text1"/>
        </w:rPr>
        <w:t>Havas PR Prague</w:t>
      </w:r>
      <w:r w:rsidRPr="00836718">
        <w:rPr>
          <w:b/>
          <w:bCs/>
          <w:color w:val="000000" w:themeColor="text1"/>
        </w:rPr>
        <w:t xml:space="preserve">, </w:t>
      </w:r>
      <w:r w:rsidR="00272D91" w:rsidRPr="00836718">
        <w:rPr>
          <w:color w:val="000000" w:themeColor="text1"/>
        </w:rPr>
        <w:t>Petr Kubíček</w:t>
      </w:r>
      <w:r w:rsidRPr="00836718">
        <w:rPr>
          <w:color w:val="000000" w:themeColor="text1"/>
        </w:rPr>
        <w:t xml:space="preserve">, </w:t>
      </w:r>
      <w:r w:rsidR="00272D91" w:rsidRPr="00836718">
        <w:rPr>
          <w:color w:val="000000" w:themeColor="text1"/>
        </w:rPr>
        <w:t>petr</w:t>
      </w:r>
      <w:r w:rsidRPr="00836718">
        <w:rPr>
          <w:color w:val="000000" w:themeColor="text1"/>
        </w:rPr>
        <w:t>.</w:t>
      </w:r>
      <w:r w:rsidR="00272D91" w:rsidRPr="00836718">
        <w:rPr>
          <w:color w:val="000000" w:themeColor="text1"/>
        </w:rPr>
        <w:t>kubicek</w:t>
      </w:r>
      <w:r w:rsidRPr="00836718">
        <w:rPr>
          <w:color w:val="000000" w:themeColor="text1"/>
        </w:rPr>
        <w:t>@havaspr.com</w:t>
      </w:r>
      <w:r w:rsidRPr="00836718">
        <w:rPr>
          <w:b/>
          <w:bCs/>
          <w:color w:val="000000" w:themeColor="text1"/>
        </w:rPr>
        <w:t xml:space="preserve">, </w:t>
      </w:r>
      <w:r w:rsidRPr="00836718">
        <w:rPr>
          <w:color w:val="000000" w:themeColor="text1"/>
        </w:rPr>
        <w:t>+420</w:t>
      </w:r>
      <w:r w:rsidR="003B0272">
        <w:rPr>
          <w:color w:val="000000" w:themeColor="text1"/>
        </w:rPr>
        <w:t> </w:t>
      </w:r>
      <w:r w:rsidR="00272D91" w:rsidRPr="00836718">
        <w:rPr>
          <w:color w:val="000000" w:themeColor="text1"/>
        </w:rPr>
        <w:t>602</w:t>
      </w:r>
      <w:r w:rsidR="003B0272">
        <w:rPr>
          <w:color w:val="000000" w:themeColor="text1"/>
        </w:rPr>
        <w:t> </w:t>
      </w:r>
      <w:r w:rsidR="00272D91" w:rsidRPr="00836718">
        <w:rPr>
          <w:color w:val="000000" w:themeColor="text1"/>
        </w:rPr>
        <w:t>388</w:t>
      </w:r>
      <w:r w:rsidR="003B0272">
        <w:rPr>
          <w:color w:val="000000" w:themeColor="text1"/>
        </w:rPr>
        <w:t> </w:t>
      </w:r>
      <w:r w:rsidR="00272D91" w:rsidRPr="00836718">
        <w:rPr>
          <w:color w:val="000000" w:themeColor="text1"/>
        </w:rPr>
        <w:t>970</w:t>
      </w:r>
    </w:p>
    <w:sectPr w:rsidR="00056067" w:rsidRPr="00836718" w:rsidSect="00486B0B">
      <w:headerReference w:type="default" r:id="rId12"/>
      <w:footerReference w:type="default" r:id="rId13"/>
      <w:pgSz w:w="11906" w:h="16838"/>
      <w:pgMar w:top="3402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B14E4" w14:textId="77777777" w:rsidR="00411DED" w:rsidRDefault="00411DED" w:rsidP="00F827BA">
      <w:pPr>
        <w:spacing w:after="0" w:line="240" w:lineRule="auto"/>
      </w:pPr>
      <w:r>
        <w:separator/>
      </w:r>
    </w:p>
  </w:endnote>
  <w:endnote w:type="continuationSeparator" w:id="0">
    <w:p w14:paraId="43B23B4E" w14:textId="77777777" w:rsidR="00411DED" w:rsidRDefault="00411DED" w:rsidP="00F827BA">
      <w:pPr>
        <w:spacing w:after="0" w:line="240" w:lineRule="auto"/>
      </w:pPr>
      <w:r>
        <w:continuationSeparator/>
      </w:r>
    </w:p>
  </w:endnote>
  <w:endnote w:type="continuationNotice" w:id="1">
    <w:p w14:paraId="58E2060E" w14:textId="77777777" w:rsidR="00411DED" w:rsidRDefault="00411D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">
    <w:altName w:val="Calibri"/>
    <w:panose1 w:val="020B0604020202020204"/>
    <w:charset w:val="00"/>
    <w:family w:val="moder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 Light">
    <w:panose1 w:val="020B0604020202020204"/>
    <w:charset w:val="EE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B5DB" w14:textId="007DBD97" w:rsidR="00411863" w:rsidRPr="00BC0EF1" w:rsidRDefault="00680F8B" w:rsidP="00056067">
    <w:pPr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EF4CBAB" wp14:editId="78CFB5AC">
              <wp:simplePos x="0" y="0"/>
              <wp:positionH relativeFrom="margin">
                <wp:posOffset>-89535</wp:posOffset>
              </wp:positionH>
              <wp:positionV relativeFrom="paragraph">
                <wp:posOffset>-352425</wp:posOffset>
              </wp:positionV>
              <wp:extent cx="2143125" cy="1404620"/>
              <wp:effectExtent l="0" t="0" r="9525" b="8890"/>
              <wp:wrapNone/>
              <wp:docPr id="217" name="Textové pol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2C1578" w14:textId="77777777" w:rsidR="00007715" w:rsidRPr="00056067" w:rsidRDefault="00007715" w:rsidP="00056067">
                          <w:pPr>
                            <w:pStyle w:val="Patika"/>
                          </w:pPr>
                          <w:r w:rsidRPr="00056067">
                            <w:rPr>
                              <w:rStyle w:val="A0"/>
                              <w:b w:val="0"/>
                              <w:bCs w:val="0"/>
                              <w:color w:val="023444"/>
                              <w:sz w:val="18"/>
                              <w:szCs w:val="24"/>
                            </w:rPr>
                            <w:t>Drobného 49, 602 00 Brno</w:t>
                          </w:r>
                        </w:p>
                        <w:p w14:paraId="61406546" w14:textId="7A7745B5" w:rsidR="00007715" w:rsidRPr="00056067" w:rsidRDefault="00680F8B" w:rsidP="00056067">
                          <w:pPr>
                            <w:pStyle w:val="Patika"/>
                          </w:pPr>
                          <w:r>
                            <w:rPr>
                              <w:rStyle w:val="A0"/>
                              <w:b w:val="0"/>
                              <w:bCs w:val="0"/>
                              <w:color w:val="023444"/>
                              <w:sz w:val="18"/>
                              <w:szCs w:val="24"/>
                            </w:rPr>
                            <w:t>Seyfor</w:t>
                          </w:r>
                          <w:r w:rsidR="00007715" w:rsidRPr="00056067">
                            <w:rPr>
                              <w:rStyle w:val="A0"/>
                              <w:b w:val="0"/>
                              <w:bCs w:val="0"/>
                              <w:color w:val="023444"/>
                              <w:sz w:val="18"/>
                              <w:szCs w:val="24"/>
                            </w:rPr>
                            <w:t>, a.</w:t>
                          </w:r>
                          <w:r>
                            <w:rPr>
                              <w:rStyle w:val="A0"/>
                              <w:b w:val="0"/>
                              <w:bCs w:val="0"/>
                              <w:color w:val="023444"/>
                              <w:sz w:val="18"/>
                              <w:szCs w:val="24"/>
                            </w:rPr>
                            <w:t xml:space="preserve"> </w:t>
                          </w:r>
                          <w:r w:rsidR="00007715" w:rsidRPr="00056067">
                            <w:rPr>
                              <w:rStyle w:val="A0"/>
                              <w:b w:val="0"/>
                              <w:bCs w:val="0"/>
                              <w:color w:val="023444"/>
                              <w:sz w:val="18"/>
                              <w:szCs w:val="24"/>
                            </w:rPr>
                            <w:t>s. | www.</w:t>
                          </w:r>
                          <w:r>
                            <w:rPr>
                              <w:rStyle w:val="A0"/>
                              <w:b w:val="0"/>
                              <w:bCs w:val="0"/>
                              <w:color w:val="023444"/>
                              <w:sz w:val="18"/>
                              <w:szCs w:val="24"/>
                            </w:rPr>
                            <w:t>seyfor</w:t>
                          </w:r>
                          <w:r w:rsidR="00007715" w:rsidRPr="00056067">
                            <w:rPr>
                              <w:rStyle w:val="A0"/>
                              <w:b w:val="0"/>
                              <w:bCs w:val="0"/>
                              <w:color w:val="023444"/>
                              <w:sz w:val="18"/>
                              <w:szCs w:val="24"/>
                            </w:rPr>
                            <w:t>.c</w:t>
                          </w:r>
                          <w:r>
                            <w:rPr>
                              <w:rStyle w:val="A0"/>
                              <w:b w:val="0"/>
                              <w:bCs w:val="0"/>
                              <w:color w:val="023444"/>
                              <w:sz w:val="18"/>
                              <w:szCs w:val="24"/>
                            </w:rPr>
                            <w:t>om</w:t>
                          </w:r>
                        </w:p>
                        <w:p w14:paraId="7E7A0F9C" w14:textId="77777777" w:rsidR="00007715" w:rsidRPr="00056067" w:rsidRDefault="00007715" w:rsidP="00056067">
                          <w:pPr>
                            <w:pStyle w:val="Patika"/>
                          </w:pPr>
                          <w:r w:rsidRPr="00056067">
                            <w:rPr>
                              <w:rStyle w:val="A0"/>
                              <w:b w:val="0"/>
                              <w:bCs w:val="0"/>
                              <w:color w:val="023444"/>
                              <w:sz w:val="18"/>
                              <w:szCs w:val="24"/>
                            </w:rPr>
                            <w:t>IČO 01572377 | DIČ CZ01572377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F4CBAB" id="_x0000_t202" coordsize="21600,21600" o:spt="202" path="m,l,21600r21600,l21600,xe">
              <v:stroke joinstyle="miter"/>
              <v:path gradientshapeok="t" o:connecttype="rect"/>
            </v:shapetype>
            <v:shape id="Textové pole 217" o:spid="_x0000_s1026" type="#_x0000_t202" style="position:absolute;left:0;text-align:left;margin-left:-7.05pt;margin-top:-27.75pt;width:168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" stroked="f">
              <v:textbox style="mso-fit-shape-to-text:t">
                <w:txbxContent>
                  <w:p w14:paraId="272C1578" w14:textId="77777777" w:rsidR="00007715" w:rsidRPr="00056067" w:rsidRDefault="00007715" w:rsidP="00056067">
                    <w:pPr>
                      <w:pStyle w:val="Patika"/>
                    </w:pPr>
                    <w:r w:rsidRPr="00056067">
                      <w:rPr>
                        <w:rStyle w:val="A0"/>
                        <w:b w:val="0"/>
                        <w:bCs w:val="0"/>
                        <w:color w:val="023444"/>
                        <w:sz w:val="18"/>
                        <w:szCs w:val="24"/>
                      </w:rPr>
                      <w:t>Drobného 49, 602 00 Brno</w:t>
                    </w:r>
                  </w:p>
                  <w:p w14:paraId="61406546" w14:textId="7A7745B5" w:rsidR="00007715" w:rsidRPr="00056067" w:rsidRDefault="00680F8B" w:rsidP="00056067">
                    <w:pPr>
                      <w:pStyle w:val="Patika"/>
                    </w:pPr>
                    <w:proofErr w:type="spellStart"/>
                    <w:r>
                      <w:rPr>
                        <w:rStyle w:val="A0"/>
                        <w:b w:val="0"/>
                        <w:bCs w:val="0"/>
                        <w:color w:val="023444"/>
                        <w:sz w:val="18"/>
                        <w:szCs w:val="24"/>
                      </w:rPr>
                      <w:t>Seyfor</w:t>
                    </w:r>
                    <w:proofErr w:type="spellEnd"/>
                    <w:r w:rsidR="00007715" w:rsidRPr="00056067">
                      <w:rPr>
                        <w:rStyle w:val="A0"/>
                        <w:b w:val="0"/>
                        <w:bCs w:val="0"/>
                        <w:color w:val="023444"/>
                        <w:sz w:val="18"/>
                        <w:szCs w:val="24"/>
                      </w:rPr>
                      <w:t>, a.</w:t>
                    </w:r>
                    <w:r>
                      <w:rPr>
                        <w:rStyle w:val="A0"/>
                        <w:b w:val="0"/>
                        <w:bCs w:val="0"/>
                        <w:color w:val="023444"/>
                        <w:sz w:val="18"/>
                        <w:szCs w:val="24"/>
                      </w:rPr>
                      <w:t xml:space="preserve"> </w:t>
                    </w:r>
                    <w:r w:rsidR="00007715" w:rsidRPr="00056067">
                      <w:rPr>
                        <w:rStyle w:val="A0"/>
                        <w:b w:val="0"/>
                        <w:bCs w:val="0"/>
                        <w:color w:val="023444"/>
                        <w:sz w:val="18"/>
                        <w:szCs w:val="24"/>
                      </w:rPr>
                      <w:t>s. | www.</w:t>
                    </w:r>
                    <w:r>
                      <w:rPr>
                        <w:rStyle w:val="A0"/>
                        <w:b w:val="0"/>
                        <w:bCs w:val="0"/>
                        <w:color w:val="023444"/>
                        <w:sz w:val="18"/>
                        <w:szCs w:val="24"/>
                      </w:rPr>
                      <w:t>seyfor</w:t>
                    </w:r>
                    <w:r w:rsidR="00007715" w:rsidRPr="00056067">
                      <w:rPr>
                        <w:rStyle w:val="A0"/>
                        <w:b w:val="0"/>
                        <w:bCs w:val="0"/>
                        <w:color w:val="023444"/>
                        <w:sz w:val="18"/>
                        <w:szCs w:val="24"/>
                      </w:rPr>
                      <w:t>.c</w:t>
                    </w:r>
                    <w:r>
                      <w:rPr>
                        <w:rStyle w:val="A0"/>
                        <w:b w:val="0"/>
                        <w:bCs w:val="0"/>
                        <w:color w:val="023444"/>
                        <w:sz w:val="18"/>
                        <w:szCs w:val="24"/>
                      </w:rPr>
                      <w:t>om</w:t>
                    </w:r>
                  </w:p>
                  <w:p w14:paraId="7E7A0F9C" w14:textId="77777777" w:rsidR="00007715" w:rsidRPr="00056067" w:rsidRDefault="00007715" w:rsidP="00056067">
                    <w:pPr>
                      <w:pStyle w:val="Patika"/>
                    </w:pPr>
                    <w:r w:rsidRPr="00056067">
                      <w:rPr>
                        <w:rStyle w:val="A0"/>
                        <w:b w:val="0"/>
                        <w:bCs w:val="0"/>
                        <w:color w:val="023444"/>
                        <w:sz w:val="18"/>
                        <w:szCs w:val="24"/>
                      </w:rPr>
                      <w:t>IČO 01572377 | DIČ CZ01572377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102617928"/>
        <w:docPartObj>
          <w:docPartGallery w:val="Page Numbers (Bottom of Page)"/>
          <w:docPartUnique/>
        </w:docPartObj>
      </w:sdtPr>
      <w:sdtEndPr/>
      <w:sdtContent>
        <w:r w:rsidR="00283950" w:rsidRPr="00BC0EF1">
          <w:fldChar w:fldCharType="begin"/>
        </w:r>
        <w:r w:rsidR="00283950" w:rsidRPr="00BC0EF1">
          <w:instrText>PAGE   \* MERGEFORMAT</w:instrText>
        </w:r>
        <w:r w:rsidR="00283950" w:rsidRPr="00BC0EF1">
          <w:fldChar w:fldCharType="separate"/>
        </w:r>
        <w:r w:rsidR="00283950" w:rsidRPr="00BC0EF1">
          <w:t>2</w:t>
        </w:r>
        <w:r w:rsidR="00283950" w:rsidRPr="00BC0EF1">
          <w:fldChar w:fldCharType="end"/>
        </w:r>
        <w:r w:rsidR="00FC7AF6" w:rsidRPr="00BC0EF1">
          <w:t xml:space="preserve"> I </w:t>
        </w:r>
        <w:r w:rsidR="00E72C23">
          <w:fldChar w:fldCharType="begin"/>
        </w:r>
        <w:r w:rsidR="00E72C23">
          <w:instrText>SECTIONPAGES  \* Arabic  \* MERGEFORMAT</w:instrText>
        </w:r>
        <w:r w:rsidR="00E72C23">
          <w:fldChar w:fldCharType="separate"/>
        </w:r>
        <w:r w:rsidR="00E72C23">
          <w:rPr>
            <w:noProof/>
          </w:rPr>
          <w:t>4</w:t>
        </w:r>
        <w:r w:rsidR="00E72C2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DE06" w14:textId="77777777" w:rsidR="00411DED" w:rsidRDefault="00411DED" w:rsidP="00F827BA">
      <w:pPr>
        <w:spacing w:after="0" w:line="240" w:lineRule="auto"/>
      </w:pPr>
      <w:r>
        <w:separator/>
      </w:r>
    </w:p>
  </w:footnote>
  <w:footnote w:type="continuationSeparator" w:id="0">
    <w:p w14:paraId="70CCD151" w14:textId="77777777" w:rsidR="00411DED" w:rsidRDefault="00411DED" w:rsidP="00F827BA">
      <w:pPr>
        <w:spacing w:after="0" w:line="240" w:lineRule="auto"/>
      </w:pPr>
      <w:r>
        <w:continuationSeparator/>
      </w:r>
    </w:p>
  </w:footnote>
  <w:footnote w:type="continuationNotice" w:id="1">
    <w:p w14:paraId="6281FA3C" w14:textId="77777777" w:rsidR="00411DED" w:rsidRDefault="00411D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6B05" w14:textId="77777777" w:rsidR="00F827BA" w:rsidRDefault="00056067" w:rsidP="00D30A83">
    <w:pPr>
      <w:pStyle w:val="Zhlav"/>
      <w:tabs>
        <w:tab w:val="clear" w:pos="4536"/>
        <w:tab w:val="clear" w:pos="9072"/>
      </w:tabs>
    </w:pPr>
    <w:r w:rsidRPr="00F443F9">
      <w:rPr>
        <w:noProof/>
        <w:lang w:eastAsia="sk-SK"/>
      </w:rPr>
      <w:drawing>
        <wp:anchor distT="0" distB="0" distL="114300" distR="114300" simplePos="0" relativeHeight="251658241" behindDoc="0" locked="0" layoutInCell="1" allowOverlap="1" wp14:anchorId="086A17BC" wp14:editId="691D2A83">
          <wp:simplePos x="0" y="0"/>
          <wp:positionH relativeFrom="margin">
            <wp:align>left</wp:align>
          </wp:positionH>
          <wp:positionV relativeFrom="margin">
            <wp:posOffset>-1070610</wp:posOffset>
          </wp:positionV>
          <wp:extent cx="1209675" cy="341630"/>
          <wp:effectExtent l="0" t="0" r="9525" b="1270"/>
          <wp:wrapThrough wrapText="bothSides">
            <wp:wrapPolygon edited="0">
              <wp:start x="0" y="0"/>
              <wp:lineTo x="0" y="16862"/>
              <wp:lineTo x="7824" y="20476"/>
              <wp:lineTo x="10885" y="20476"/>
              <wp:lineTo x="21430" y="16862"/>
              <wp:lineTo x="21430" y="2409"/>
              <wp:lineTo x="14967" y="0"/>
              <wp:lineTo x="0" y="0"/>
            </wp:wrapPolygon>
          </wp:wrapThrough>
          <wp:docPr id="154" name="Obrázek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74420"/>
    <w:multiLevelType w:val="hybridMultilevel"/>
    <w:tmpl w:val="51EE8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086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8B"/>
    <w:rsid w:val="00001EA3"/>
    <w:rsid w:val="000022D7"/>
    <w:rsid w:val="00007715"/>
    <w:rsid w:val="00012C3F"/>
    <w:rsid w:val="000158FB"/>
    <w:rsid w:val="000168EE"/>
    <w:rsid w:val="000233F9"/>
    <w:rsid w:val="0002740E"/>
    <w:rsid w:val="0003106A"/>
    <w:rsid w:val="0003190D"/>
    <w:rsid w:val="00033C53"/>
    <w:rsid w:val="00037659"/>
    <w:rsid w:val="00050ACA"/>
    <w:rsid w:val="000535C4"/>
    <w:rsid w:val="00056067"/>
    <w:rsid w:val="000563FE"/>
    <w:rsid w:val="000571F8"/>
    <w:rsid w:val="00060BA4"/>
    <w:rsid w:val="00061250"/>
    <w:rsid w:val="000619AD"/>
    <w:rsid w:val="000624E6"/>
    <w:rsid w:val="0006445B"/>
    <w:rsid w:val="000649A5"/>
    <w:rsid w:val="00064A3E"/>
    <w:rsid w:val="00071EE1"/>
    <w:rsid w:val="00075D52"/>
    <w:rsid w:val="00084615"/>
    <w:rsid w:val="0008749A"/>
    <w:rsid w:val="000914FC"/>
    <w:rsid w:val="000A64DF"/>
    <w:rsid w:val="000B40CD"/>
    <w:rsid w:val="000B5B53"/>
    <w:rsid w:val="000E0D24"/>
    <w:rsid w:val="000E4101"/>
    <w:rsid w:val="000E593E"/>
    <w:rsid w:val="000E619F"/>
    <w:rsid w:val="000F5E33"/>
    <w:rsid w:val="00103DF0"/>
    <w:rsid w:val="001124FE"/>
    <w:rsid w:val="00117F45"/>
    <w:rsid w:val="001238B2"/>
    <w:rsid w:val="00131750"/>
    <w:rsid w:val="00131E74"/>
    <w:rsid w:val="00137F13"/>
    <w:rsid w:val="00143580"/>
    <w:rsid w:val="00154DEE"/>
    <w:rsid w:val="00173664"/>
    <w:rsid w:val="00174F6F"/>
    <w:rsid w:val="00180675"/>
    <w:rsid w:val="00183878"/>
    <w:rsid w:val="00186454"/>
    <w:rsid w:val="0019017D"/>
    <w:rsid w:val="00191FB4"/>
    <w:rsid w:val="001949CB"/>
    <w:rsid w:val="0019711F"/>
    <w:rsid w:val="001A0F25"/>
    <w:rsid w:val="001A1D9E"/>
    <w:rsid w:val="001C1590"/>
    <w:rsid w:val="001D38EF"/>
    <w:rsid w:val="001D40A9"/>
    <w:rsid w:val="001E249A"/>
    <w:rsid w:val="001F4A87"/>
    <w:rsid w:val="002025AD"/>
    <w:rsid w:val="002031F4"/>
    <w:rsid w:val="00203F69"/>
    <w:rsid w:val="00206596"/>
    <w:rsid w:val="002066E8"/>
    <w:rsid w:val="002067BD"/>
    <w:rsid w:val="00207584"/>
    <w:rsid w:val="00217969"/>
    <w:rsid w:val="00223F8A"/>
    <w:rsid w:val="00226F4B"/>
    <w:rsid w:val="002523B7"/>
    <w:rsid w:val="0025468D"/>
    <w:rsid w:val="00256256"/>
    <w:rsid w:val="00263796"/>
    <w:rsid w:val="00264CB0"/>
    <w:rsid w:val="0027213D"/>
    <w:rsid w:val="00272972"/>
    <w:rsid w:val="00272D91"/>
    <w:rsid w:val="00276518"/>
    <w:rsid w:val="00280629"/>
    <w:rsid w:val="00280800"/>
    <w:rsid w:val="00283950"/>
    <w:rsid w:val="00284DFB"/>
    <w:rsid w:val="0028640F"/>
    <w:rsid w:val="002900AA"/>
    <w:rsid w:val="00291380"/>
    <w:rsid w:val="002942DC"/>
    <w:rsid w:val="00295053"/>
    <w:rsid w:val="00296648"/>
    <w:rsid w:val="002A2EBF"/>
    <w:rsid w:val="002A4FE0"/>
    <w:rsid w:val="002A5692"/>
    <w:rsid w:val="002B5B19"/>
    <w:rsid w:val="002E340D"/>
    <w:rsid w:val="002E3974"/>
    <w:rsid w:val="002E7476"/>
    <w:rsid w:val="002F6640"/>
    <w:rsid w:val="00303CEC"/>
    <w:rsid w:val="00303EC0"/>
    <w:rsid w:val="003105D1"/>
    <w:rsid w:val="00323607"/>
    <w:rsid w:val="00327D2E"/>
    <w:rsid w:val="00345A50"/>
    <w:rsid w:val="00350FCE"/>
    <w:rsid w:val="003527F5"/>
    <w:rsid w:val="003679D3"/>
    <w:rsid w:val="00367B97"/>
    <w:rsid w:val="0037409C"/>
    <w:rsid w:val="00383FAE"/>
    <w:rsid w:val="003866CE"/>
    <w:rsid w:val="00392B68"/>
    <w:rsid w:val="003A6BA6"/>
    <w:rsid w:val="003B0272"/>
    <w:rsid w:val="003B6898"/>
    <w:rsid w:val="003C3C71"/>
    <w:rsid w:val="003C3D19"/>
    <w:rsid w:val="003C42D8"/>
    <w:rsid w:val="003C57A8"/>
    <w:rsid w:val="003D68EC"/>
    <w:rsid w:val="003E674F"/>
    <w:rsid w:val="0040072E"/>
    <w:rsid w:val="0040214A"/>
    <w:rsid w:val="004105AB"/>
    <w:rsid w:val="00411863"/>
    <w:rsid w:val="00411DED"/>
    <w:rsid w:val="0041352A"/>
    <w:rsid w:val="004139BF"/>
    <w:rsid w:val="00414D31"/>
    <w:rsid w:val="004154B7"/>
    <w:rsid w:val="004239CC"/>
    <w:rsid w:val="004264EE"/>
    <w:rsid w:val="00442592"/>
    <w:rsid w:val="004519A6"/>
    <w:rsid w:val="00461C09"/>
    <w:rsid w:val="004641CA"/>
    <w:rsid w:val="00474CC3"/>
    <w:rsid w:val="00486B0B"/>
    <w:rsid w:val="00495DC8"/>
    <w:rsid w:val="004A2596"/>
    <w:rsid w:val="004A3078"/>
    <w:rsid w:val="004A3B24"/>
    <w:rsid w:val="004C5C4F"/>
    <w:rsid w:val="004D05DC"/>
    <w:rsid w:val="004D0775"/>
    <w:rsid w:val="004D27AE"/>
    <w:rsid w:val="004D6EFD"/>
    <w:rsid w:val="004E4D36"/>
    <w:rsid w:val="004E55CF"/>
    <w:rsid w:val="00503F0D"/>
    <w:rsid w:val="00524348"/>
    <w:rsid w:val="00537DF3"/>
    <w:rsid w:val="005409CE"/>
    <w:rsid w:val="00543A71"/>
    <w:rsid w:val="00544521"/>
    <w:rsid w:val="005627C8"/>
    <w:rsid w:val="00562C7A"/>
    <w:rsid w:val="0057093D"/>
    <w:rsid w:val="005956FC"/>
    <w:rsid w:val="005A639B"/>
    <w:rsid w:val="005B1961"/>
    <w:rsid w:val="005B7CF5"/>
    <w:rsid w:val="005C3CFB"/>
    <w:rsid w:val="005D0F7C"/>
    <w:rsid w:val="005F7103"/>
    <w:rsid w:val="005F7B6C"/>
    <w:rsid w:val="006006B4"/>
    <w:rsid w:val="00603FD3"/>
    <w:rsid w:val="00607148"/>
    <w:rsid w:val="00610AF0"/>
    <w:rsid w:val="00623388"/>
    <w:rsid w:val="00634E77"/>
    <w:rsid w:val="00636B83"/>
    <w:rsid w:val="00636C36"/>
    <w:rsid w:val="00644347"/>
    <w:rsid w:val="00660305"/>
    <w:rsid w:val="0066095A"/>
    <w:rsid w:val="0067506E"/>
    <w:rsid w:val="00680F8B"/>
    <w:rsid w:val="00690D90"/>
    <w:rsid w:val="00691319"/>
    <w:rsid w:val="006973B0"/>
    <w:rsid w:val="006A13E3"/>
    <w:rsid w:val="006A2CC8"/>
    <w:rsid w:val="006A3346"/>
    <w:rsid w:val="006B3E2F"/>
    <w:rsid w:val="006B53BD"/>
    <w:rsid w:val="006E111F"/>
    <w:rsid w:val="006E184E"/>
    <w:rsid w:val="006E5925"/>
    <w:rsid w:val="006F2E2B"/>
    <w:rsid w:val="006F6D34"/>
    <w:rsid w:val="0070477B"/>
    <w:rsid w:val="00707F18"/>
    <w:rsid w:val="00712160"/>
    <w:rsid w:val="0074270F"/>
    <w:rsid w:val="0074466B"/>
    <w:rsid w:val="00744F31"/>
    <w:rsid w:val="007468D9"/>
    <w:rsid w:val="00761262"/>
    <w:rsid w:val="00761E49"/>
    <w:rsid w:val="00762EC9"/>
    <w:rsid w:val="00763AE8"/>
    <w:rsid w:val="00772CA3"/>
    <w:rsid w:val="00780AB1"/>
    <w:rsid w:val="00791312"/>
    <w:rsid w:val="0079342B"/>
    <w:rsid w:val="007A175A"/>
    <w:rsid w:val="007A56F4"/>
    <w:rsid w:val="007E24E2"/>
    <w:rsid w:val="007E2E32"/>
    <w:rsid w:val="007F29BB"/>
    <w:rsid w:val="007F38A3"/>
    <w:rsid w:val="0080285F"/>
    <w:rsid w:val="00825B7F"/>
    <w:rsid w:val="00827954"/>
    <w:rsid w:val="00836718"/>
    <w:rsid w:val="0083758B"/>
    <w:rsid w:val="00842FDB"/>
    <w:rsid w:val="0085370B"/>
    <w:rsid w:val="00854AFE"/>
    <w:rsid w:val="00861F22"/>
    <w:rsid w:val="00866BB2"/>
    <w:rsid w:val="00871913"/>
    <w:rsid w:val="008765F4"/>
    <w:rsid w:val="008859D9"/>
    <w:rsid w:val="00892772"/>
    <w:rsid w:val="008A12E0"/>
    <w:rsid w:val="008A454B"/>
    <w:rsid w:val="008A7217"/>
    <w:rsid w:val="008C57D6"/>
    <w:rsid w:val="008D6261"/>
    <w:rsid w:val="008D7B28"/>
    <w:rsid w:val="008E5756"/>
    <w:rsid w:val="009150EA"/>
    <w:rsid w:val="00924CF8"/>
    <w:rsid w:val="0093763B"/>
    <w:rsid w:val="00947C5B"/>
    <w:rsid w:val="00950486"/>
    <w:rsid w:val="0097011D"/>
    <w:rsid w:val="00972F7C"/>
    <w:rsid w:val="0097302A"/>
    <w:rsid w:val="0097512E"/>
    <w:rsid w:val="009917DD"/>
    <w:rsid w:val="00992219"/>
    <w:rsid w:val="00995F2E"/>
    <w:rsid w:val="009A3A8E"/>
    <w:rsid w:val="009B26D8"/>
    <w:rsid w:val="009C48BE"/>
    <w:rsid w:val="009D00DE"/>
    <w:rsid w:val="009D0FFE"/>
    <w:rsid w:val="009D3A34"/>
    <w:rsid w:val="009D59EF"/>
    <w:rsid w:val="009E6D07"/>
    <w:rsid w:val="009E6FD3"/>
    <w:rsid w:val="009F174E"/>
    <w:rsid w:val="009F232D"/>
    <w:rsid w:val="009F3FB7"/>
    <w:rsid w:val="00A03AF1"/>
    <w:rsid w:val="00A076A9"/>
    <w:rsid w:val="00A1395A"/>
    <w:rsid w:val="00A2782D"/>
    <w:rsid w:val="00A36B3B"/>
    <w:rsid w:val="00A37BA0"/>
    <w:rsid w:val="00A43AF5"/>
    <w:rsid w:val="00A5343E"/>
    <w:rsid w:val="00A5505B"/>
    <w:rsid w:val="00A56D65"/>
    <w:rsid w:val="00A60F3D"/>
    <w:rsid w:val="00A636A4"/>
    <w:rsid w:val="00A63AD0"/>
    <w:rsid w:val="00A64BAD"/>
    <w:rsid w:val="00A70607"/>
    <w:rsid w:val="00A75455"/>
    <w:rsid w:val="00A76737"/>
    <w:rsid w:val="00A8041E"/>
    <w:rsid w:val="00A90E4E"/>
    <w:rsid w:val="00AA034A"/>
    <w:rsid w:val="00AB0A03"/>
    <w:rsid w:val="00AB0F7E"/>
    <w:rsid w:val="00AB3629"/>
    <w:rsid w:val="00AB3EB3"/>
    <w:rsid w:val="00AB63B5"/>
    <w:rsid w:val="00AD0D3D"/>
    <w:rsid w:val="00AD37E3"/>
    <w:rsid w:val="00AD4717"/>
    <w:rsid w:val="00AD5E19"/>
    <w:rsid w:val="00AD7839"/>
    <w:rsid w:val="00AE3F07"/>
    <w:rsid w:val="00AF0D55"/>
    <w:rsid w:val="00AF2AD1"/>
    <w:rsid w:val="00AF57E7"/>
    <w:rsid w:val="00AF6A24"/>
    <w:rsid w:val="00AF6F6E"/>
    <w:rsid w:val="00B37065"/>
    <w:rsid w:val="00B464D5"/>
    <w:rsid w:val="00B631E9"/>
    <w:rsid w:val="00B65F11"/>
    <w:rsid w:val="00B73AF7"/>
    <w:rsid w:val="00B8101F"/>
    <w:rsid w:val="00B97277"/>
    <w:rsid w:val="00BB3301"/>
    <w:rsid w:val="00BB3536"/>
    <w:rsid w:val="00BC0EF1"/>
    <w:rsid w:val="00BD217E"/>
    <w:rsid w:val="00BD64F9"/>
    <w:rsid w:val="00BE2E99"/>
    <w:rsid w:val="00BE7F35"/>
    <w:rsid w:val="00BF5731"/>
    <w:rsid w:val="00BF5CA9"/>
    <w:rsid w:val="00C0061C"/>
    <w:rsid w:val="00C0172E"/>
    <w:rsid w:val="00C02C47"/>
    <w:rsid w:val="00C1545D"/>
    <w:rsid w:val="00C17C5A"/>
    <w:rsid w:val="00C329BD"/>
    <w:rsid w:val="00C33344"/>
    <w:rsid w:val="00C35C2F"/>
    <w:rsid w:val="00C4373D"/>
    <w:rsid w:val="00C6456A"/>
    <w:rsid w:val="00C67433"/>
    <w:rsid w:val="00C73F9F"/>
    <w:rsid w:val="00C858DC"/>
    <w:rsid w:val="00C9315C"/>
    <w:rsid w:val="00C9571C"/>
    <w:rsid w:val="00CB23C2"/>
    <w:rsid w:val="00CB2703"/>
    <w:rsid w:val="00CB49D8"/>
    <w:rsid w:val="00CB693A"/>
    <w:rsid w:val="00CC0278"/>
    <w:rsid w:val="00CC24F8"/>
    <w:rsid w:val="00CF19C5"/>
    <w:rsid w:val="00CF28F7"/>
    <w:rsid w:val="00CF4C87"/>
    <w:rsid w:val="00D0667A"/>
    <w:rsid w:val="00D109C3"/>
    <w:rsid w:val="00D221E0"/>
    <w:rsid w:val="00D23A1A"/>
    <w:rsid w:val="00D30A83"/>
    <w:rsid w:val="00D32AB6"/>
    <w:rsid w:val="00D4265B"/>
    <w:rsid w:val="00D44AE5"/>
    <w:rsid w:val="00D530FF"/>
    <w:rsid w:val="00D709FF"/>
    <w:rsid w:val="00D70C8A"/>
    <w:rsid w:val="00D76CB6"/>
    <w:rsid w:val="00D82232"/>
    <w:rsid w:val="00D869BE"/>
    <w:rsid w:val="00D8731F"/>
    <w:rsid w:val="00D90C39"/>
    <w:rsid w:val="00D97C78"/>
    <w:rsid w:val="00DA17CE"/>
    <w:rsid w:val="00DA48A2"/>
    <w:rsid w:val="00DA6612"/>
    <w:rsid w:val="00DB0B87"/>
    <w:rsid w:val="00DB3912"/>
    <w:rsid w:val="00DB3D5C"/>
    <w:rsid w:val="00DB7B3E"/>
    <w:rsid w:val="00DC1A0F"/>
    <w:rsid w:val="00DC2356"/>
    <w:rsid w:val="00DD18CF"/>
    <w:rsid w:val="00DD217C"/>
    <w:rsid w:val="00DD4594"/>
    <w:rsid w:val="00E03EE6"/>
    <w:rsid w:val="00E135B0"/>
    <w:rsid w:val="00E14685"/>
    <w:rsid w:val="00E20968"/>
    <w:rsid w:val="00E21123"/>
    <w:rsid w:val="00E31FEE"/>
    <w:rsid w:val="00E44D53"/>
    <w:rsid w:val="00E52046"/>
    <w:rsid w:val="00E57617"/>
    <w:rsid w:val="00E618FD"/>
    <w:rsid w:val="00E622B4"/>
    <w:rsid w:val="00E64950"/>
    <w:rsid w:val="00E72C23"/>
    <w:rsid w:val="00E92D07"/>
    <w:rsid w:val="00EA5769"/>
    <w:rsid w:val="00EA6D53"/>
    <w:rsid w:val="00EB1E9F"/>
    <w:rsid w:val="00EB69E1"/>
    <w:rsid w:val="00EC44F4"/>
    <w:rsid w:val="00EE46D3"/>
    <w:rsid w:val="00EE50BB"/>
    <w:rsid w:val="00EE5A95"/>
    <w:rsid w:val="00EE68C2"/>
    <w:rsid w:val="00F00B74"/>
    <w:rsid w:val="00F06A99"/>
    <w:rsid w:val="00F11975"/>
    <w:rsid w:val="00F23B04"/>
    <w:rsid w:val="00F27430"/>
    <w:rsid w:val="00F33FDD"/>
    <w:rsid w:val="00F35FB1"/>
    <w:rsid w:val="00F449E9"/>
    <w:rsid w:val="00F52CE5"/>
    <w:rsid w:val="00F545E4"/>
    <w:rsid w:val="00F62BC9"/>
    <w:rsid w:val="00F677FA"/>
    <w:rsid w:val="00F825DC"/>
    <w:rsid w:val="00F827BA"/>
    <w:rsid w:val="00F87DED"/>
    <w:rsid w:val="00F9178C"/>
    <w:rsid w:val="00F96348"/>
    <w:rsid w:val="00F9941A"/>
    <w:rsid w:val="00FA49BE"/>
    <w:rsid w:val="00FA6155"/>
    <w:rsid w:val="00FC09E8"/>
    <w:rsid w:val="00FC2EF3"/>
    <w:rsid w:val="00FC3C37"/>
    <w:rsid w:val="00FC412D"/>
    <w:rsid w:val="00FC54A0"/>
    <w:rsid w:val="00FC7AF6"/>
    <w:rsid w:val="00FE4DDB"/>
    <w:rsid w:val="0246BA99"/>
    <w:rsid w:val="05380D21"/>
    <w:rsid w:val="09896465"/>
    <w:rsid w:val="0BABD893"/>
    <w:rsid w:val="0C7B76C0"/>
    <w:rsid w:val="13DFAA27"/>
    <w:rsid w:val="16D1BC82"/>
    <w:rsid w:val="1A19A1A6"/>
    <w:rsid w:val="1CE606E3"/>
    <w:rsid w:val="1EC8D582"/>
    <w:rsid w:val="2376398F"/>
    <w:rsid w:val="248BA3F5"/>
    <w:rsid w:val="2AFF4B1C"/>
    <w:rsid w:val="2B69E97F"/>
    <w:rsid w:val="324139B0"/>
    <w:rsid w:val="35DC8104"/>
    <w:rsid w:val="37CDAD1F"/>
    <w:rsid w:val="427ADC69"/>
    <w:rsid w:val="44AA95C4"/>
    <w:rsid w:val="49F36BCD"/>
    <w:rsid w:val="4F8780F1"/>
    <w:rsid w:val="4FC9BD42"/>
    <w:rsid w:val="502D9073"/>
    <w:rsid w:val="53F287FA"/>
    <w:rsid w:val="54A811C2"/>
    <w:rsid w:val="56F1AA5B"/>
    <w:rsid w:val="58992A46"/>
    <w:rsid w:val="5AF7BAB0"/>
    <w:rsid w:val="615E5114"/>
    <w:rsid w:val="6241D1CF"/>
    <w:rsid w:val="63C77E3C"/>
    <w:rsid w:val="65AA86C9"/>
    <w:rsid w:val="6E1ACFD1"/>
    <w:rsid w:val="704F483D"/>
    <w:rsid w:val="72C13336"/>
    <w:rsid w:val="76A2B6DF"/>
    <w:rsid w:val="7993F0DB"/>
    <w:rsid w:val="79B61413"/>
    <w:rsid w:val="7BE0C665"/>
    <w:rsid w:val="7F5DC3B8"/>
    <w:rsid w:val="7FBA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B4458"/>
  <w15:chartTrackingRefBased/>
  <w15:docId w15:val="{710E7CEE-39FA-6D40-854F-37F9E08A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6067"/>
    <w:pPr>
      <w:spacing w:after="300" w:line="312" w:lineRule="auto"/>
    </w:pPr>
    <w:rPr>
      <w:rFonts w:ascii="Century Gothic" w:hAnsi="Century Gothic"/>
      <w:color w:val="023444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ksdatem">
    <w:name w:val="Řádek s datem"/>
    <w:basedOn w:val="Normln"/>
    <w:link w:val="deksdatemChar"/>
    <w:qFormat/>
    <w:rsid w:val="00BC0EF1"/>
    <w:pPr>
      <w:spacing w:after="640" w:line="276" w:lineRule="auto"/>
      <w:jc w:val="right"/>
    </w:pPr>
  </w:style>
  <w:style w:type="paragraph" w:styleId="Zhlav">
    <w:name w:val="header"/>
    <w:basedOn w:val="Normln"/>
    <w:link w:val="ZhlavChar"/>
    <w:uiPriority w:val="99"/>
    <w:unhideWhenUsed/>
    <w:rsid w:val="00F827BA"/>
    <w:pPr>
      <w:tabs>
        <w:tab w:val="center" w:pos="4536"/>
        <w:tab w:val="right" w:pos="9072"/>
      </w:tabs>
      <w:spacing w:after="0" w:line="240" w:lineRule="auto"/>
    </w:pPr>
    <w:rPr>
      <w:rFonts w:ascii="Mont" w:hAnsi="Mont"/>
      <w:color w:val="auto"/>
      <w:sz w:val="18"/>
    </w:rPr>
  </w:style>
  <w:style w:type="character" w:customStyle="1" w:styleId="deksdatemChar">
    <w:name w:val="Řádek s datem Char"/>
    <w:basedOn w:val="Standardnpsmoodstavce"/>
    <w:link w:val="deksdatem"/>
    <w:rsid w:val="00BC0EF1"/>
    <w:rPr>
      <w:rFonts w:ascii="Arial" w:hAnsi="Arial"/>
      <w:color w:val="000D4D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F827BA"/>
    <w:rPr>
      <w:rFonts w:ascii="Mont Light" w:hAnsi="Mont Light"/>
      <w:sz w:val="20"/>
    </w:rPr>
  </w:style>
  <w:style w:type="paragraph" w:styleId="Zpat">
    <w:name w:val="footer"/>
    <w:basedOn w:val="Normln"/>
    <w:link w:val="ZpatChar"/>
    <w:uiPriority w:val="99"/>
    <w:unhideWhenUsed/>
    <w:rsid w:val="00F827BA"/>
    <w:pPr>
      <w:tabs>
        <w:tab w:val="center" w:pos="4536"/>
        <w:tab w:val="right" w:pos="9072"/>
      </w:tabs>
      <w:spacing w:after="0" w:line="240" w:lineRule="auto"/>
    </w:pPr>
    <w:rPr>
      <w:rFonts w:ascii="Mont" w:hAnsi="Mont"/>
      <w:color w:val="auto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F827BA"/>
    <w:rPr>
      <w:rFonts w:ascii="Mont Light" w:hAnsi="Mont Light"/>
      <w:sz w:val="20"/>
    </w:rPr>
  </w:style>
  <w:style w:type="paragraph" w:customStyle="1" w:styleId="Default">
    <w:name w:val="Default"/>
    <w:link w:val="DefaultChar"/>
    <w:rsid w:val="00283950"/>
    <w:pPr>
      <w:autoSpaceDE w:val="0"/>
      <w:autoSpaceDN w:val="0"/>
      <w:adjustRightInd w:val="0"/>
      <w:spacing w:after="0" w:line="240" w:lineRule="auto"/>
    </w:pPr>
    <w:rPr>
      <w:rFonts w:ascii="Mont" w:hAnsi="Mont" w:cs="Mon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83950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83950"/>
    <w:rPr>
      <w:rFonts w:cs="Mont"/>
      <w:b/>
      <w:bCs/>
      <w:color w:val="000000"/>
      <w:sz w:val="16"/>
      <w:szCs w:val="16"/>
    </w:rPr>
  </w:style>
  <w:style w:type="paragraph" w:customStyle="1" w:styleId="Patika">
    <w:name w:val="Patička"/>
    <w:basedOn w:val="Default"/>
    <w:link w:val="PatikaChar"/>
    <w:qFormat/>
    <w:rsid w:val="00056067"/>
    <w:pPr>
      <w:spacing w:line="264" w:lineRule="auto"/>
    </w:pPr>
    <w:rPr>
      <w:rFonts w:ascii="Century Gothic" w:hAnsi="Century Gothic"/>
      <w:color w:val="023444"/>
      <w:sz w:val="18"/>
    </w:rPr>
  </w:style>
  <w:style w:type="character" w:customStyle="1" w:styleId="DefaultChar">
    <w:name w:val="Default Char"/>
    <w:basedOn w:val="Standardnpsmoodstavce"/>
    <w:link w:val="Default"/>
    <w:rsid w:val="00283950"/>
    <w:rPr>
      <w:rFonts w:ascii="Mont" w:hAnsi="Mont" w:cs="Mont"/>
      <w:color w:val="000000"/>
      <w:sz w:val="24"/>
      <w:szCs w:val="24"/>
    </w:rPr>
  </w:style>
  <w:style w:type="character" w:customStyle="1" w:styleId="PatikaChar">
    <w:name w:val="Patička Char"/>
    <w:basedOn w:val="DefaultChar"/>
    <w:link w:val="Patika"/>
    <w:rsid w:val="00056067"/>
    <w:rPr>
      <w:rFonts w:ascii="Century Gothic" w:hAnsi="Century Gothic" w:cs="Mont"/>
      <w:color w:val="023444"/>
      <w:sz w:val="18"/>
      <w:szCs w:val="24"/>
    </w:rPr>
  </w:style>
  <w:style w:type="paragraph" w:customStyle="1" w:styleId="Slogan">
    <w:name w:val="Slogan"/>
    <w:basedOn w:val="Normln"/>
    <w:link w:val="SloganChar"/>
    <w:rsid w:val="0083758B"/>
    <w:pPr>
      <w:spacing w:line="276" w:lineRule="auto"/>
    </w:pPr>
    <w:rPr>
      <w:sz w:val="24"/>
    </w:rPr>
  </w:style>
  <w:style w:type="character" w:customStyle="1" w:styleId="SloganChar">
    <w:name w:val="Slogan Char"/>
    <w:basedOn w:val="Standardnpsmoodstavce"/>
    <w:link w:val="Slogan"/>
    <w:rsid w:val="0083758B"/>
    <w:rPr>
      <w:rFonts w:ascii="Century Gothic" w:hAnsi="Century Gothic"/>
      <w:color w:val="023444"/>
      <w:sz w:val="24"/>
    </w:rPr>
  </w:style>
  <w:style w:type="paragraph" w:customStyle="1" w:styleId="paragraph">
    <w:name w:val="paragraph"/>
    <w:basedOn w:val="Normln"/>
    <w:rsid w:val="00C8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k-SK" w:eastAsia="sk-SK"/>
    </w:rPr>
  </w:style>
  <w:style w:type="character" w:customStyle="1" w:styleId="spellingerror">
    <w:name w:val="spellingerror"/>
    <w:basedOn w:val="Standardnpsmoodstavce"/>
    <w:rsid w:val="00C858DC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58D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58DC"/>
    <w:rPr>
      <w:rFonts w:ascii="Century Gothic" w:hAnsi="Century Gothic"/>
      <w:color w:val="023444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858DC"/>
    <w:rPr>
      <w:vertAlign w:val="superscript"/>
    </w:rPr>
  </w:style>
  <w:style w:type="character" w:customStyle="1" w:styleId="superscript">
    <w:name w:val="superscript"/>
    <w:basedOn w:val="Standardnpsmoodstavce"/>
    <w:rsid w:val="005F7B6C"/>
  </w:style>
  <w:style w:type="character" w:customStyle="1" w:styleId="normaltextrun">
    <w:name w:val="normaltextrun"/>
    <w:basedOn w:val="Standardnpsmoodstavce"/>
    <w:rsid w:val="005F7B6C"/>
  </w:style>
  <w:style w:type="character" w:customStyle="1" w:styleId="eop">
    <w:name w:val="eop"/>
    <w:basedOn w:val="Standardnpsmoodstavce"/>
    <w:rsid w:val="005F7B6C"/>
  </w:style>
  <w:style w:type="paragraph" w:styleId="Revize">
    <w:name w:val="Revision"/>
    <w:hidden/>
    <w:uiPriority w:val="99"/>
    <w:semiHidden/>
    <w:rsid w:val="002B5B19"/>
    <w:pPr>
      <w:spacing w:after="0" w:line="240" w:lineRule="auto"/>
    </w:pPr>
    <w:rPr>
      <w:rFonts w:ascii="Century Gothic" w:hAnsi="Century Gothic"/>
      <w:color w:val="023444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376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3765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37659"/>
    <w:rPr>
      <w:rFonts w:ascii="Century Gothic" w:hAnsi="Century Gothic"/>
      <w:color w:val="02344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76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7659"/>
    <w:rPr>
      <w:rFonts w:ascii="Century Gothic" w:hAnsi="Century Gothic"/>
      <w:b/>
      <w:bCs/>
      <w:color w:val="023444"/>
      <w:sz w:val="20"/>
      <w:szCs w:val="20"/>
    </w:rPr>
  </w:style>
  <w:style w:type="paragraph" w:styleId="Bezmezer">
    <w:name w:val="No Spacing"/>
    <w:uiPriority w:val="1"/>
    <w:qFormat/>
    <w:rsid w:val="00DB3912"/>
    <w:pPr>
      <w:spacing w:after="0" w:line="240" w:lineRule="auto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jan.kaderabek/Downloads/Pocet_DAP_1993-2021_2023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/>
              <a:t>Počet daňových přiznání k dani z příjmů právnických osob (DPPO) v ČR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6.2039525691699605E-2"/>
          <c:y val="0.1294924288310115"/>
          <c:w val="0.90038890790825055"/>
          <c:h val="0.78474887946698968"/>
        </c:manualLayout>
      </c:layout>
      <c:areaChart>
        <c:grouping val="standar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4.64576074332171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6D-4648-952B-98F65971ADE8}"/>
                </c:ext>
              </c:extLst>
            </c:dLbl>
            <c:dLbl>
              <c:idx val="28"/>
              <c:layout>
                <c:manualLayout>
                  <c:x val="-9.2915214866434379E-3"/>
                  <c:y val="-7.878436419230248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BD6D-4648-952B-98F65971AD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overflow" horzOverflow="overflow" vert="horz" wrap="none" lIns="38100" tIns="19050" rIns="38100" bIns="19050" anchor="ctr" anchorCtr="0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DPPO!$B$4:$B$32</c:f>
              <c:numCache>
                <c:formatCode>General</c:formatCode>
                <c:ptCount val="29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  <c:pt idx="25">
                  <c:v>2018</c:v>
                </c:pt>
                <c:pt idx="26">
                  <c:v>2019</c:v>
                </c:pt>
                <c:pt idx="27">
                  <c:v>2020</c:v>
                </c:pt>
                <c:pt idx="28">
                  <c:v>2021</c:v>
                </c:pt>
              </c:numCache>
            </c:numRef>
          </c:cat>
          <c:val>
            <c:numRef>
              <c:f>DPPO!$C$4:$C$32</c:f>
              <c:numCache>
                <c:formatCode>#,##0</c:formatCode>
                <c:ptCount val="29"/>
                <c:pt idx="0">
                  <c:v>81950</c:v>
                </c:pt>
                <c:pt idx="1">
                  <c:v>119831</c:v>
                </c:pt>
                <c:pt idx="2">
                  <c:v>136334</c:v>
                </c:pt>
                <c:pt idx="3">
                  <c:v>156029</c:v>
                </c:pt>
                <c:pt idx="4">
                  <c:v>176934</c:v>
                </c:pt>
                <c:pt idx="5">
                  <c:v>193797</c:v>
                </c:pt>
                <c:pt idx="6">
                  <c:v>209106</c:v>
                </c:pt>
                <c:pt idx="7">
                  <c:v>223307</c:v>
                </c:pt>
                <c:pt idx="8">
                  <c:v>242164</c:v>
                </c:pt>
                <c:pt idx="9">
                  <c:v>265813</c:v>
                </c:pt>
                <c:pt idx="10">
                  <c:v>270968</c:v>
                </c:pt>
                <c:pt idx="11">
                  <c:v>279964</c:v>
                </c:pt>
                <c:pt idx="12">
                  <c:v>296271</c:v>
                </c:pt>
                <c:pt idx="13">
                  <c:v>307986</c:v>
                </c:pt>
                <c:pt idx="14">
                  <c:v>329481</c:v>
                </c:pt>
                <c:pt idx="15">
                  <c:v>347457</c:v>
                </c:pt>
                <c:pt idx="16">
                  <c:v>396925</c:v>
                </c:pt>
                <c:pt idx="17">
                  <c:v>411060</c:v>
                </c:pt>
                <c:pt idx="18">
                  <c:v>433818</c:v>
                </c:pt>
                <c:pt idx="19">
                  <c:v>455482</c:v>
                </c:pt>
                <c:pt idx="20">
                  <c:v>478527</c:v>
                </c:pt>
                <c:pt idx="21">
                  <c:v>493300</c:v>
                </c:pt>
                <c:pt idx="22">
                  <c:v>513784</c:v>
                </c:pt>
                <c:pt idx="23">
                  <c:v>536430</c:v>
                </c:pt>
                <c:pt idx="24">
                  <c:v>558797</c:v>
                </c:pt>
                <c:pt idx="25">
                  <c:v>574298</c:v>
                </c:pt>
                <c:pt idx="26">
                  <c:v>580494</c:v>
                </c:pt>
                <c:pt idx="27">
                  <c:v>581405</c:v>
                </c:pt>
                <c:pt idx="28">
                  <c:v>559641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6D-4648-952B-98F65971AD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75879504"/>
        <c:axId val="1475881232"/>
      </c:areaChart>
      <c:catAx>
        <c:axId val="1475879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75881232"/>
        <c:crosses val="autoZero"/>
        <c:auto val="1"/>
        <c:lblAlgn val="ctr"/>
        <c:lblOffset val="100"/>
        <c:noMultiLvlLbl val="0"/>
      </c:catAx>
      <c:valAx>
        <c:axId val="1475881232"/>
        <c:scaling>
          <c:orientation val="minMax"/>
          <c:max val="6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758795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5823B96BAD49BE06477D88E7951E" ma:contentTypeVersion="16" ma:contentTypeDescription="Create a new document." ma:contentTypeScope="" ma:versionID="a49af770c015dff67aac239b0f7a5e7e">
  <xsd:schema xmlns:xsd="http://www.w3.org/2001/XMLSchema" xmlns:xs="http://www.w3.org/2001/XMLSchema" xmlns:p="http://schemas.microsoft.com/office/2006/metadata/properties" xmlns:ns2="d7ae0baf-0c4c-4fd6-9b97-abdacf91fa46" xmlns:ns3="5c075d65-3e58-4f66-b97f-b1089f7f4cf0" targetNamespace="http://schemas.microsoft.com/office/2006/metadata/properties" ma:root="true" ma:fieldsID="33f47a24d0edd6f517488f1bb72b0b12" ns2:_="" ns3:_="">
    <xsd:import namespace="d7ae0baf-0c4c-4fd6-9b97-abdacf91fa46"/>
    <xsd:import namespace="5c075d65-3e58-4f66-b97f-b1089f7f4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0baf-0c4c-4fd6-9b97-abdacf91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70de15-bcca-44b9-b7b5-b2794476c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d65-3e58-4f66-b97f-b1089f7f4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fd60bf-c3cd-4403-9bb9-0666f5096efe}" ma:internalName="TaxCatchAll" ma:showField="CatchAllData" ma:web="5c075d65-3e58-4f66-b97f-b1089f7f4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075d65-3e58-4f66-b97f-b1089f7f4cf0" xsi:nil="true"/>
    <lcf76f155ced4ddcb4097134ff3c332f xmlns="d7ae0baf-0c4c-4fd6-9b97-abdacf91fa46">
      <Terms xmlns="http://schemas.microsoft.com/office/infopath/2007/PartnerControls"/>
    </lcf76f155ced4ddcb4097134ff3c332f>
    <SharedWithUsers xmlns="5c075d65-3e58-4f66-b97f-b1089f7f4cf0">
      <UserInfo>
        <DisplayName>Denisa Herinkova</DisplayName>
        <AccountId>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C2D14E-9453-4821-9BC0-8BBFD73D4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9043B-76BB-49BD-B688-D2BB707ACF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606508-0D38-4BFE-AC8E-98C25E7CD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0baf-0c4c-4fd6-9b97-abdacf91fa46"/>
    <ds:schemaRef ds:uri="5c075d65-3e58-4f66-b97f-b1089f7f4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5B9E95-5AC1-445A-8D20-E8017EF00685}">
  <ds:schemaRefs>
    <ds:schemaRef ds:uri="http://schemas.microsoft.com/office/2006/metadata/properties"/>
    <ds:schemaRef ds:uri="http://schemas.microsoft.com/office/infopath/2007/PartnerControls"/>
    <ds:schemaRef ds:uri="5c075d65-3e58-4f66-b97f-b1089f7f4cf0"/>
    <ds:schemaRef ds:uri="d7ae0baf-0c4c-4fd6-9b97-abdacf91fa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652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Pája</dc:creator>
  <cp:keywords/>
  <dc:description/>
  <cp:lastModifiedBy>Petr Kubicek</cp:lastModifiedBy>
  <cp:revision>19</cp:revision>
  <cp:lastPrinted>2020-07-12T22:37:00Z</cp:lastPrinted>
  <dcterms:created xsi:type="dcterms:W3CDTF">2023-03-22T10:55:00Z</dcterms:created>
  <dcterms:modified xsi:type="dcterms:W3CDTF">2023-03-24T09:43:00Z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0x0101006585B1893FA49E49BA33B6496D749691</vt:lpwstr>
  </property>
  <property fmtid="{D5CDD505-2E9C-101B-9397-08002B2CF9AE}" pid="3" name="Pobočka">
    <vt:lpwstr>2;#Brno|369d77e6-9398-4f4e-ba18-12b75bc99e70</vt:lpwstr>
  </property>
  <property fmtid="{D5CDD505-2E9C-101B-9397-08002B2CF9AE}" pid="4" name="Kategorie">
    <vt:lpwstr>Šablony</vt:lpwstr>
  </property>
  <property fmtid="{D5CDD505-2E9C-101B-9397-08002B2CF9AE}" pid="5" name="ha0bcbcbeadc47fcbdb99041006f3281">
    <vt:lpwstr>Brno|369d77e6-9398-4f4e-ba18-12b75bc99e70</vt:lpwstr>
  </property>
  <property fmtid="{D5CDD505-2E9C-101B-9397-08002B2CF9AE}" pid="6" name="Produkt">
    <vt:lpwstr>4;#Solitea, a.s.|ccd3dc9c-202b-45c4-aed5-a956d515b281</vt:lpwstr>
  </property>
  <property fmtid="{D5CDD505-2E9C-101B-9397-08002B2CF9AE}" pid="7" name="MediaServiceImageTags">
    <vt:lpwstr/>
  </property>
</Properties>
</file>